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E8673">
      <w:pPr>
        <w:pStyle w:val="2"/>
        <w:adjustRightInd w:val="0"/>
        <w:snapToGrid w:val="0"/>
        <w:spacing w:before="0" w:after="0" w:line="560" w:lineRule="exact"/>
        <w:jc w:val="center"/>
        <w:rPr>
          <w:rFonts w:ascii="方正小标宋简体" w:hAnsi="宋体" w:eastAsia="方正小标宋简体"/>
          <w:b w:val="0"/>
          <w:szCs w:val="44"/>
        </w:rPr>
      </w:pPr>
      <w:r>
        <w:rPr>
          <w:rFonts w:hint="eastAsia" w:ascii="方正小标宋简体" w:hAnsi="宋体" w:eastAsia="方正小标宋简体"/>
          <w:b w:val="0"/>
          <w:szCs w:val="44"/>
        </w:rPr>
        <w:t>贵州大学建筑与城市规划学院</w:t>
      </w:r>
    </w:p>
    <w:p w14:paraId="4258B84D">
      <w:pPr>
        <w:pStyle w:val="2"/>
        <w:adjustRightInd w:val="0"/>
        <w:snapToGrid w:val="0"/>
        <w:spacing w:before="0" w:after="0" w:line="560" w:lineRule="exact"/>
        <w:jc w:val="center"/>
        <w:rPr>
          <w:rFonts w:ascii="仿宋_GB2312" w:hAnsi="宋体" w:eastAsia="方正小标宋简体"/>
          <w:b w:val="0"/>
          <w:szCs w:val="44"/>
        </w:rPr>
      </w:pPr>
      <w:r>
        <w:rPr>
          <w:rFonts w:hint="eastAsia" w:ascii="方正小标宋简体" w:hAnsi="宋体" w:eastAsia="方正小标宋简体"/>
          <w:b w:val="0"/>
          <w:szCs w:val="44"/>
        </w:rPr>
        <w:t>2025年研究生导师资格审核实施方案</w:t>
      </w:r>
    </w:p>
    <w:p w14:paraId="60A34999">
      <w:pPr>
        <w:spacing w:line="560" w:lineRule="exact"/>
        <w:rPr>
          <w:rFonts w:ascii="仿宋_GB2312" w:eastAsia="仿宋_GB2312"/>
          <w:sz w:val="32"/>
          <w:szCs w:val="32"/>
        </w:rPr>
      </w:pPr>
    </w:p>
    <w:p w14:paraId="734B5470">
      <w:pPr>
        <w:adjustRightInd w:val="0"/>
        <w:snapToGrid w:val="0"/>
        <w:spacing w:line="560" w:lineRule="exact"/>
        <w:ind w:firstLine="561"/>
        <w:rPr>
          <w:rFonts w:ascii="仿宋_GB2312" w:hAnsi="仿宋" w:eastAsia="仿宋_GB2312" w:cstheme="minorEastAsia"/>
          <w:sz w:val="32"/>
          <w:szCs w:val="32"/>
        </w:rPr>
      </w:pPr>
      <w:r>
        <w:rPr>
          <w:rFonts w:hint="eastAsia" w:ascii="仿宋_GB2312" w:hAnsi="仿宋" w:eastAsia="仿宋_GB2312" w:cstheme="minorEastAsia"/>
          <w:sz w:val="32"/>
          <w:szCs w:val="32"/>
        </w:rPr>
        <w:t>根据《关于开展2025年度硕士研究生导师资格审核工作的通知》（贵大研</w:t>
      </w:r>
      <w:r>
        <w:rPr>
          <w:rFonts w:hint="eastAsia" w:ascii="仿宋_GB2312" w:hAnsi="仿宋" w:eastAsia="仿宋" w:cstheme="minorEastAsia"/>
          <w:sz w:val="32"/>
          <w:szCs w:val="32"/>
        </w:rPr>
        <w:t>﹝</w:t>
      </w:r>
      <w:r>
        <w:rPr>
          <w:rFonts w:hint="eastAsia" w:ascii="仿宋_GB2312" w:hAnsi="仿宋" w:eastAsia="仿宋_GB2312" w:cstheme="minorEastAsia"/>
          <w:sz w:val="32"/>
          <w:szCs w:val="32"/>
        </w:rPr>
        <w:t>2025</w:t>
      </w:r>
      <w:r>
        <w:rPr>
          <w:rFonts w:hint="eastAsia" w:ascii="仿宋_GB2312" w:hAnsi="仿宋" w:eastAsia="仿宋" w:cstheme="minorEastAsia"/>
          <w:sz w:val="32"/>
          <w:szCs w:val="32"/>
        </w:rPr>
        <w:t>﹞</w:t>
      </w:r>
      <w:r>
        <w:rPr>
          <w:rFonts w:hint="eastAsia" w:ascii="仿宋_GB2312" w:hAnsi="仿宋" w:eastAsia="仿宋_GB2312" w:cstheme="minorEastAsia"/>
          <w:sz w:val="32"/>
          <w:szCs w:val="32"/>
        </w:rPr>
        <w:t>18号）文件精神，为加强学院研究生指导教师（以下简称“导师”）队伍建设，提高研究生培养质量，按照学校</w:t>
      </w:r>
      <w:r>
        <w:rPr>
          <w:rFonts w:hint="eastAsia" w:ascii="仿宋_GB2312" w:hAnsi="仿宋" w:eastAsia="仿宋_GB2312" w:cstheme="minorEastAsia"/>
          <w:color w:val="000000" w:themeColor="text1"/>
          <w:sz w:val="32"/>
          <w:szCs w:val="32"/>
        </w:rPr>
        <w:t>规定</w:t>
      </w:r>
      <w:r>
        <w:rPr>
          <w:rFonts w:hint="eastAsia" w:ascii="仿宋_GB2312" w:hAnsi="仿宋" w:eastAsia="仿宋_GB2312" w:cstheme="minorEastAsia"/>
          <w:sz w:val="32"/>
          <w:szCs w:val="32"/>
        </w:rPr>
        <w:t>实施导师</w:t>
      </w:r>
      <w:r>
        <w:rPr>
          <w:rFonts w:hint="eastAsia" w:ascii="仿宋_GB2312" w:hAnsi="仿宋" w:eastAsia="仿宋_GB2312" w:cstheme="minorEastAsia"/>
          <w:color w:val="000000" w:themeColor="text1"/>
          <w:sz w:val="32"/>
          <w:szCs w:val="32"/>
        </w:rPr>
        <w:t>岗位</w:t>
      </w:r>
      <w:r>
        <w:rPr>
          <w:rFonts w:hint="eastAsia" w:ascii="仿宋_GB2312" w:hAnsi="仿宋" w:eastAsia="仿宋_GB2312" w:cstheme="minorEastAsia"/>
          <w:sz w:val="32"/>
          <w:szCs w:val="32"/>
        </w:rPr>
        <w:t>年审制，2025年进一步落实导师“岗位管理”工作。现制定建筑与城市规划学院2025年研究生导师招生资格审核工作方案如下：</w:t>
      </w:r>
    </w:p>
    <w:p w14:paraId="2BF32F12">
      <w:pPr>
        <w:adjustRightInd w:val="0"/>
        <w:snapToGrid w:val="0"/>
        <w:spacing w:line="560" w:lineRule="exact"/>
        <w:ind w:firstLine="560"/>
        <w:rPr>
          <w:rFonts w:ascii="黑体" w:hAnsi="黑体" w:eastAsia="黑体" w:cstheme="minorEastAsia"/>
          <w:sz w:val="32"/>
          <w:szCs w:val="32"/>
        </w:rPr>
      </w:pPr>
      <w:r>
        <w:rPr>
          <w:rFonts w:hint="eastAsia" w:ascii="黑体" w:hAnsi="黑体" w:eastAsia="黑体" w:cstheme="minorEastAsia"/>
          <w:sz w:val="32"/>
          <w:szCs w:val="32"/>
        </w:rPr>
        <w:t>一、导师岗位申请基本条件</w:t>
      </w:r>
    </w:p>
    <w:p w14:paraId="2B618C0C">
      <w:pPr>
        <w:adjustRightInd w:val="0"/>
        <w:snapToGrid w:val="0"/>
        <w:spacing w:line="560" w:lineRule="exact"/>
        <w:ind w:firstLine="561"/>
        <w:rPr>
          <w:rFonts w:ascii="仿宋_GB2312" w:hAnsi="仿宋" w:eastAsia="仿宋_GB2312" w:cstheme="minorEastAsia"/>
          <w:sz w:val="32"/>
          <w:szCs w:val="32"/>
        </w:rPr>
      </w:pPr>
      <w:r>
        <w:rPr>
          <w:rFonts w:hint="eastAsia" w:ascii="仿宋_GB2312" w:hAnsi="仿宋" w:eastAsia="仿宋_GB2312" w:cstheme="minorEastAsia"/>
          <w:sz w:val="32"/>
          <w:szCs w:val="32"/>
        </w:rPr>
        <w:t>1.坚持以习近平新时代中国特色社会主义思想为指导，拥护中国共产党的领导，贯彻党的教育方针。导师作为研究生培养的第一责任人，肩负着为党育人、为国育才的重要使命，具备对研究生进行思想政治教育、学术规范训练、创新能力培养、社会实践引导等基本导师能力。</w:t>
      </w:r>
    </w:p>
    <w:p w14:paraId="3DD8F79C">
      <w:pPr>
        <w:adjustRightInd w:val="0"/>
        <w:snapToGrid w:val="0"/>
        <w:spacing w:line="560" w:lineRule="exact"/>
        <w:ind w:firstLine="561"/>
        <w:rPr>
          <w:rFonts w:ascii="仿宋_GB2312" w:hAnsi="仿宋" w:eastAsia="仿宋_GB2312" w:cstheme="minorEastAsia"/>
          <w:sz w:val="32"/>
          <w:szCs w:val="32"/>
        </w:rPr>
      </w:pPr>
      <w:r>
        <w:rPr>
          <w:rFonts w:hint="eastAsia" w:ascii="仿宋_GB2312" w:hAnsi="仿宋" w:eastAsia="仿宋_GB2312" w:cstheme="minorEastAsia"/>
          <w:sz w:val="32"/>
          <w:szCs w:val="32"/>
        </w:rPr>
        <w:t>2.近三年指导的研究生学位论文在论文抽检中未出现质量问题者。</w:t>
      </w:r>
    </w:p>
    <w:p w14:paraId="238D953F">
      <w:pPr>
        <w:adjustRightInd w:val="0"/>
        <w:snapToGrid w:val="0"/>
        <w:spacing w:line="560" w:lineRule="exact"/>
        <w:ind w:firstLine="561"/>
        <w:rPr>
          <w:rFonts w:ascii="仿宋_GB2312" w:hAnsi="仿宋" w:eastAsia="仿宋_GB2312" w:cstheme="minorEastAsia"/>
          <w:sz w:val="32"/>
          <w:szCs w:val="32"/>
        </w:rPr>
      </w:pPr>
      <w:r>
        <w:rPr>
          <w:rFonts w:ascii="仿宋_GB2312" w:hAnsi="仿宋" w:eastAsia="仿宋_GB2312" w:cstheme="minorEastAsia"/>
          <w:sz w:val="32"/>
          <w:szCs w:val="32"/>
        </w:rPr>
        <w:t>3.</w:t>
      </w:r>
      <w:r>
        <w:rPr>
          <w:rFonts w:hint="eastAsia" w:ascii="仿宋_GB2312" w:hAnsi="仿宋" w:eastAsia="仿宋_GB2312" w:cstheme="minorEastAsia"/>
          <w:sz w:val="32"/>
          <w:szCs w:val="32"/>
        </w:rPr>
        <w:t>具有副高职称的专业技术人员；校聘副教授及聘期内的特岗人才。</w:t>
      </w:r>
    </w:p>
    <w:p w14:paraId="58AE66B0">
      <w:pPr>
        <w:adjustRightInd w:val="0"/>
        <w:snapToGrid w:val="0"/>
        <w:spacing w:line="560" w:lineRule="exact"/>
        <w:ind w:firstLine="561"/>
        <w:rPr>
          <w:rFonts w:ascii="仿宋_GB2312" w:hAnsi="仿宋" w:eastAsia="仿宋_GB2312" w:cstheme="minorEastAsia"/>
          <w:sz w:val="32"/>
          <w:szCs w:val="32"/>
        </w:rPr>
      </w:pPr>
      <w:r>
        <w:rPr>
          <w:rFonts w:ascii="仿宋_GB2312" w:hAnsi="仿宋" w:eastAsia="仿宋_GB2312" w:cstheme="minorEastAsia"/>
          <w:sz w:val="32"/>
          <w:szCs w:val="32"/>
        </w:rPr>
        <w:t>4</w:t>
      </w:r>
      <w:r>
        <w:rPr>
          <w:rFonts w:hint="eastAsia" w:ascii="仿宋_GB2312" w:hAnsi="仿宋" w:eastAsia="仿宋_GB2312" w:cstheme="minorEastAsia"/>
          <w:sz w:val="32"/>
          <w:szCs w:val="32"/>
        </w:rPr>
        <w:t>.除近一年引进的校内教师及首次申请的校外专家外，硕导申请人所提交成果的第一单位须为贵州大学。</w:t>
      </w:r>
    </w:p>
    <w:p w14:paraId="4855C0DE">
      <w:pPr>
        <w:adjustRightInd w:val="0"/>
        <w:snapToGrid w:val="0"/>
        <w:spacing w:line="560" w:lineRule="exact"/>
        <w:ind w:firstLine="561"/>
        <w:rPr>
          <w:rFonts w:ascii="仿宋_GB2312" w:hAnsi="仿宋" w:eastAsia="仿宋_GB2312" w:cstheme="minorEastAsia"/>
          <w:sz w:val="32"/>
          <w:szCs w:val="32"/>
        </w:rPr>
      </w:pPr>
      <w:r>
        <w:rPr>
          <w:rFonts w:ascii="仿宋_GB2312" w:hAnsi="仿宋" w:eastAsia="仿宋_GB2312" w:cstheme="minorEastAsia"/>
          <w:sz w:val="32"/>
          <w:szCs w:val="32"/>
        </w:rPr>
        <w:t>5</w:t>
      </w:r>
      <w:r>
        <w:rPr>
          <w:rFonts w:hint="eastAsia" w:ascii="仿宋_GB2312" w:hAnsi="仿宋" w:eastAsia="仿宋_GB2312" w:cstheme="minorEastAsia"/>
          <w:sz w:val="32"/>
          <w:szCs w:val="32"/>
        </w:rPr>
        <w:t>.2028年7月1日前退休的教师，除《贵州大学校内研究生导师管理办法（试行）》《贵州大学校外研究生导师聘任及管理办法（试行）》（贵大研〔2024〕23号）中规定可适当放宽年龄要求者，不得参加本次年审。</w:t>
      </w:r>
    </w:p>
    <w:p w14:paraId="56D60827">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.符合本学科/专业硕导条件者均可申请，但一位申请人仅能申请1个一级学科下的1个二级学科/方向和1个专业学位类别下的1个领域的导师岗位。</w:t>
      </w:r>
    </w:p>
    <w:p w14:paraId="2F034097">
      <w:pPr>
        <w:adjustRightInd w:val="0"/>
        <w:snapToGrid w:val="0"/>
        <w:spacing w:line="560" w:lineRule="exact"/>
        <w:ind w:firstLine="560"/>
        <w:rPr>
          <w:rFonts w:ascii="仿宋_GB2312" w:hAnsi="黑体" w:eastAsia="仿宋_GB2312" w:cstheme="minorEastAsia"/>
          <w:sz w:val="32"/>
          <w:szCs w:val="32"/>
        </w:rPr>
      </w:pPr>
      <w:r>
        <w:rPr>
          <w:rFonts w:hint="eastAsia" w:ascii="仿宋_GB2312" w:hAnsi="黑体" w:eastAsia="仿宋_GB2312" w:cstheme="minorEastAsia"/>
          <w:sz w:val="32"/>
          <w:szCs w:val="32"/>
        </w:rPr>
        <w:t>二、城乡规划学学术型硕士导师岗位申请条件</w:t>
      </w:r>
    </w:p>
    <w:p w14:paraId="2AD1AC63">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1.近三年主持地厅级以上科研课题或单个项目进账经费</w:t>
      </w:r>
      <w:r>
        <w:rPr>
          <w:rFonts w:ascii="仿宋_GB2312" w:hAnsi="仿宋" w:eastAsia="仿宋_GB2312"/>
          <w:sz w:val="32"/>
          <w:szCs w:val="32"/>
        </w:rPr>
        <w:t>20</w:t>
      </w:r>
      <w:r>
        <w:rPr>
          <w:rFonts w:hint="eastAsia" w:ascii="仿宋_GB2312" w:hAnsi="仿宋" w:eastAsia="仿宋_GB2312"/>
          <w:sz w:val="32"/>
          <w:szCs w:val="32"/>
        </w:rPr>
        <w:t>万元以上（含2</w:t>
      </w:r>
      <w:r>
        <w:rPr>
          <w:rFonts w:ascii="仿宋_GB2312" w:hAnsi="仿宋" w:eastAsia="仿宋_GB2312"/>
          <w:sz w:val="32"/>
          <w:szCs w:val="32"/>
        </w:rPr>
        <w:t>0</w:t>
      </w:r>
      <w:r>
        <w:rPr>
          <w:rFonts w:hint="eastAsia" w:ascii="仿宋_GB2312" w:hAnsi="仿宋" w:eastAsia="仿宋_GB2312"/>
          <w:sz w:val="32"/>
          <w:szCs w:val="32"/>
        </w:rPr>
        <w:t>万元）的横向科研项目，且年均可支配纵向科研经费3.0万元以上；或年均可支配横向科研经费5.0万元以上。</w:t>
      </w:r>
    </w:p>
    <w:p w14:paraId="48CF0909">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theme="minorEastAsia"/>
          <w:sz w:val="32"/>
          <w:szCs w:val="32"/>
        </w:rPr>
        <w:t>2.自2022年1月1日以来，</w:t>
      </w:r>
      <w:r>
        <w:rPr>
          <w:rFonts w:hint="eastAsia" w:ascii="仿宋_GB2312" w:hAnsi="仿宋" w:eastAsia="仿宋_GB2312"/>
          <w:sz w:val="32"/>
          <w:szCs w:val="32"/>
        </w:rPr>
        <w:t>在所申请的学科专业内取得以下科研、学术及教学业绩之一：</w:t>
      </w:r>
    </w:p>
    <w:p w14:paraId="499A8B84">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（1）作为第一作者/通讯作者在中文核心（或SCD）及以上期刊发表论文2篇，或在SCI/SSCI/CSSCI及以上期刊发表论文1篇；</w:t>
      </w:r>
    </w:p>
    <w:p w14:paraId="48E71A59">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（2）独立或以第一作者身份出版著作1部(本人不少于10万字)，同时作为第一作者/通讯作者在中文核心（或SCD）及以上期刊发表学术论文1篇（含1篇）以上。</w:t>
      </w:r>
    </w:p>
    <w:p w14:paraId="64EAA88A">
      <w:pPr>
        <w:adjustRightInd w:val="0"/>
        <w:snapToGrid w:val="0"/>
        <w:spacing w:line="560" w:lineRule="exact"/>
        <w:ind w:firstLine="560"/>
        <w:rPr>
          <w:rFonts w:ascii="仿宋_GB2312" w:hAnsi="仿宋" w:eastAsia="仿宋_GB2312"/>
          <w:sz w:val="32"/>
          <w:szCs w:val="32"/>
        </w:rPr>
      </w:pPr>
      <w:r>
        <w:rPr>
          <w:rFonts w:hint="eastAsia" w:ascii="仿宋_GB2312" w:hAnsi="仿宋" w:eastAsia="仿宋_GB2312"/>
          <w:sz w:val="32"/>
          <w:szCs w:val="32"/>
        </w:rPr>
        <w:t>（3）获国家级奖（不限排名），或省部级科研成果奖、省级教学成果奖、省级一流课程、省级教师教学创新大赛(一等奖排名在前5，二等奖排名前4，三等奖排名前2)，或指导学生参加“挑战杯”“互联网+”“研究生创新系列大赛”“教育部认可的全国普通高校大学生竞赛榜单中竞赛”并获国家级二等奖及以上奖项（不限排名），同时作为第一作者/通讯作者在中文核心（或SCD）及以上期刊发表学术论文1篇（含1篇）以上。</w:t>
      </w:r>
    </w:p>
    <w:p w14:paraId="195098AB">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获授权的国家发明专利1项(排名第1或研究生排名第1，本人排名第2)，或发布行业标准1项（排名前3），或省级地方标准1项（排名前2），同时作为第一作者/通讯作者在中文核心（或SCD）及以上期刊发表学术论文1篇（含1篇）以上。</w:t>
      </w:r>
    </w:p>
    <w:p w14:paraId="0E240377">
      <w:pPr>
        <w:adjustRightInd w:val="0"/>
        <w:snapToGrid w:val="0"/>
        <w:spacing w:line="560" w:lineRule="exact"/>
        <w:ind w:firstLine="56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.学术型硕导</w:t>
      </w:r>
      <w:r>
        <w:rPr>
          <w:rFonts w:hint="eastAsia" w:ascii="仿宋_GB2312" w:hAnsi="黑体" w:eastAsia="仿宋_GB2312" w:cstheme="minorEastAsia"/>
          <w:sz w:val="32"/>
          <w:szCs w:val="32"/>
        </w:rPr>
        <w:t>须将近三年（2022年1月以来）</w:t>
      </w:r>
      <w:r>
        <w:rPr>
          <w:rFonts w:hint="eastAsia" w:ascii="仿宋_GB2312" w:hAnsi="仿宋_GB2312" w:eastAsia="仿宋_GB2312" w:cs="仿宋_GB2312"/>
          <w:color w:val="000000"/>
          <w:sz w:val="32"/>
          <w:szCs w:val="32"/>
        </w:rPr>
        <w:t>科学研究学术成果作为支撑材料，并填写《科学研究学术贡献绩效考核积分汇总表》。</w:t>
      </w:r>
    </w:p>
    <w:p w14:paraId="475C045D">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学术型硕导符合以下条件之一者，可在1个一级学科下申请2个二级学科/方向：（1）近三年，第一作者或主要通讯作者发表SCI二区及以上、C刊（不含扩展版）、SSCI论文，或以共同第一作者/通讯作者发表CNS和《中国社会科学》论文；（2）主持在研国家自科/社科基金及以上档次项目。</w:t>
      </w:r>
    </w:p>
    <w:p w14:paraId="700F67B1">
      <w:pPr>
        <w:adjustRightInd w:val="0"/>
        <w:snapToGrid w:val="0"/>
        <w:spacing w:line="560" w:lineRule="exact"/>
        <w:ind w:firstLine="560"/>
        <w:rPr>
          <w:rFonts w:ascii="黑体" w:hAnsi="黑体" w:eastAsia="黑体" w:cstheme="minorEastAsia"/>
          <w:color w:val="C00000"/>
          <w:sz w:val="32"/>
          <w:szCs w:val="32"/>
        </w:rPr>
      </w:pPr>
      <w:r>
        <w:rPr>
          <w:rFonts w:hint="eastAsia" w:ascii="黑体" w:hAnsi="黑体" w:eastAsia="黑体" w:cstheme="minorEastAsia"/>
          <w:sz w:val="32"/>
          <w:szCs w:val="32"/>
        </w:rPr>
        <w:t>三、风景园林专业硕士导师岗位申请条件</w:t>
      </w:r>
    </w:p>
    <w:p w14:paraId="176F797B">
      <w:pPr>
        <w:widowControl/>
        <w:spacing w:line="56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.能够为指导的专业学位硕士研究生提供到企业或行业实践的机会。</w:t>
      </w:r>
    </w:p>
    <w:p w14:paraId="2A942EEA">
      <w:pPr>
        <w:widowControl/>
        <w:spacing w:line="520" w:lineRule="exact"/>
        <w:ind w:firstLine="640" w:firstLineChars="200"/>
        <w:rPr>
          <w:rFonts w:ascii="仿宋" w:hAnsi="仿宋" w:eastAsia="仿宋" w:cs="宋体"/>
          <w:kern w:val="0"/>
          <w:sz w:val="32"/>
          <w:szCs w:val="32"/>
        </w:rPr>
      </w:pPr>
      <w:r>
        <w:rPr>
          <w:rFonts w:ascii="仿宋_GB2312" w:hAnsi="宋体" w:eastAsia="仿宋_GB2312"/>
          <w:color w:val="000000"/>
          <w:sz w:val="32"/>
          <w:szCs w:val="32"/>
        </w:rPr>
        <w:t>2</w:t>
      </w:r>
      <w:r>
        <w:rPr>
          <w:rFonts w:hint="eastAsia" w:ascii="仿宋_GB2312" w:hAnsi="宋体" w:eastAsia="仿宋_GB2312"/>
          <w:sz w:val="32"/>
          <w:szCs w:val="32"/>
        </w:rPr>
        <w:t>.近三年主持地厅级以上科研课题，且年均可支配纵向科研经费3.0万元以上；或年均可支配横向科研经费5.0万元以上，并在所申请的学科专业内取得以下科研、学术及教学业绩之一：</w:t>
      </w:r>
    </w:p>
    <w:p w14:paraId="11D88893">
      <w:pPr>
        <w:spacing w:line="360" w:lineRule="auto"/>
        <w:ind w:firstLine="640" w:firstLineChars="200"/>
        <w:rPr>
          <w:rFonts w:ascii="仿宋_GB2312" w:hAnsi="宋体" w:eastAsia="仿宋_GB2312"/>
          <w:sz w:val="32"/>
          <w:szCs w:val="32"/>
        </w:rPr>
      </w:pPr>
      <w:bookmarkStart w:id="0" w:name="OLE_LINK37"/>
      <w:r>
        <w:rPr>
          <w:rFonts w:hint="eastAsia" w:ascii="仿宋_GB2312" w:hAnsi="宋体" w:eastAsia="仿宋_GB2312"/>
          <w:sz w:val="32"/>
          <w:szCs w:val="32"/>
        </w:rPr>
        <w:t>（1）</w:t>
      </w:r>
      <w:bookmarkEnd w:id="0"/>
      <w:r>
        <w:rPr>
          <w:rFonts w:hint="eastAsia" w:ascii="仿宋_GB2312" w:hAnsi="宋体" w:eastAsia="仿宋_GB2312"/>
          <w:sz w:val="32"/>
          <w:szCs w:val="32"/>
        </w:rPr>
        <w:t>作为第一作者/通讯作者近3年在中文核心（或SCD）及以上期刊发表论文3篇；校聘副教授近3年在中文核心（或SCD）及以上期刊发表论文4篇。</w:t>
      </w:r>
    </w:p>
    <w:p w14:paraId="3AFC2068">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）独立或以第一作者身份出版著作1部(本人不少于5万字)，或主编或副主编教材1部，同时作为第一作者/通讯作者在中文核心（或SCD）及以上期刊发表学术论文2篇及以上。</w:t>
      </w:r>
    </w:p>
    <w:p w14:paraId="757407AD">
      <w:pPr>
        <w:widowControl/>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获国家级奖（不限排名）、省部级科研成果奖或获省部级优秀教学成果奖(一等奖排名在前7，二等奖排名前5，三等奖排名前3)，或获地厅级科研成果或教学成果奖一等奖1项（前三名）、或二等奖排名第一；或指导学生获得国际优秀奖以上、国家级优秀奖以上、省级科技竞赛奖（研究生院认定）或省级景观设计奖二等奖及以上，同时作为第一作者/通讯作者在中文核心（或SCD）及以上期刊发表学术论文2篇及以上。</w:t>
      </w:r>
    </w:p>
    <w:p w14:paraId="7F576623">
      <w:pPr>
        <w:widowControl/>
        <w:spacing w:line="360" w:lineRule="auto"/>
        <w:ind w:firstLine="640" w:firstLineChars="200"/>
        <w:rPr>
          <w:rFonts w:ascii="仿宋_GB2312" w:hAnsi="宋体" w:eastAsia="仿宋_GB2312"/>
          <w:color w:val="000000"/>
          <w:sz w:val="32"/>
          <w:szCs w:val="32"/>
        </w:rPr>
      </w:pPr>
      <w:r>
        <w:rPr>
          <w:rFonts w:hint="eastAsia" w:ascii="仿宋_GB2312" w:hAnsi="宋体" w:eastAsia="仿宋_GB2312"/>
          <w:sz w:val="32"/>
          <w:szCs w:val="32"/>
        </w:rPr>
        <w:t>（4）</w:t>
      </w:r>
      <w:r>
        <w:rPr>
          <w:rFonts w:hint="eastAsia" w:ascii="仿宋_GB2312" w:hAnsi="宋体" w:eastAsia="仿宋_GB2312"/>
          <w:color w:val="000000"/>
          <w:sz w:val="32"/>
          <w:szCs w:val="32"/>
        </w:rPr>
        <w:t>选育通过审（认）定的林木良种或植物新品种1个（国家级良种排名前5，省级排名前4）及以上，同时作为第一作者/通讯作者在</w:t>
      </w:r>
      <w:r>
        <w:rPr>
          <w:rFonts w:hint="eastAsia" w:ascii="仿宋_GB2312" w:hAnsi="宋体" w:eastAsia="仿宋_GB2312"/>
          <w:sz w:val="32"/>
          <w:szCs w:val="32"/>
        </w:rPr>
        <w:t>中文核心（或SCD）</w:t>
      </w:r>
      <w:r>
        <w:rPr>
          <w:rFonts w:hint="eastAsia" w:ascii="仿宋_GB2312" w:hAnsi="宋体" w:eastAsia="仿宋_GB2312"/>
          <w:color w:val="000000"/>
          <w:sz w:val="32"/>
          <w:szCs w:val="32"/>
        </w:rPr>
        <w:t>及以上期刊发表学术论文</w:t>
      </w:r>
      <w:r>
        <w:rPr>
          <w:rFonts w:hint="eastAsia" w:ascii="仿宋_GB2312" w:hAnsi="宋体" w:eastAsia="仿宋_GB2312"/>
          <w:sz w:val="32"/>
          <w:szCs w:val="32"/>
        </w:rPr>
        <w:t>2篇及以上</w:t>
      </w:r>
      <w:r>
        <w:rPr>
          <w:rFonts w:hint="eastAsia" w:ascii="仿宋_GB2312" w:hAnsi="宋体" w:eastAsia="仿宋_GB2312"/>
          <w:color w:val="000000"/>
          <w:sz w:val="32"/>
          <w:szCs w:val="32"/>
        </w:rPr>
        <w:t>。</w:t>
      </w:r>
    </w:p>
    <w:p w14:paraId="56F65B4D">
      <w:pPr>
        <w:widowControl/>
        <w:spacing w:line="360" w:lineRule="auto"/>
        <w:ind w:firstLine="640" w:firstLineChars="200"/>
        <w:rPr>
          <w:rFonts w:ascii="仿宋_GB2312" w:hAnsi="宋体" w:eastAsia="仿宋_GB2312"/>
          <w:color w:val="000000"/>
          <w:sz w:val="32"/>
          <w:szCs w:val="32"/>
        </w:rPr>
      </w:pPr>
      <w:r>
        <w:rPr>
          <w:rFonts w:hint="eastAsia" w:ascii="仿宋_GB2312" w:hAnsi="宋体" w:eastAsia="仿宋_GB2312"/>
          <w:sz w:val="32"/>
          <w:szCs w:val="32"/>
        </w:rPr>
        <w:t>（5）</w:t>
      </w:r>
      <w:r>
        <w:rPr>
          <w:rFonts w:hint="eastAsia" w:ascii="仿宋_GB2312" w:hAnsi="宋体" w:eastAsia="仿宋_GB2312"/>
          <w:color w:val="000000"/>
          <w:sz w:val="32"/>
          <w:szCs w:val="32"/>
        </w:rPr>
        <w:t>在科技成果转化方面做出较大贡献，取得显著社会、经济效益，并为本单位创纯利5万元以上，经同行专家公认在学术、技术上达到省内领先水平(须报专题材料)，同时作为第一作者/通讯作者在</w:t>
      </w:r>
      <w:r>
        <w:rPr>
          <w:rFonts w:hint="eastAsia" w:ascii="仿宋_GB2312" w:hAnsi="宋体" w:eastAsia="仿宋_GB2312"/>
          <w:sz w:val="32"/>
          <w:szCs w:val="32"/>
        </w:rPr>
        <w:t>中文核心（或SCD）</w:t>
      </w:r>
      <w:r>
        <w:rPr>
          <w:rFonts w:hint="eastAsia" w:ascii="仿宋_GB2312" w:hAnsi="宋体" w:eastAsia="仿宋_GB2312"/>
          <w:color w:val="000000"/>
          <w:sz w:val="32"/>
          <w:szCs w:val="32"/>
        </w:rPr>
        <w:t>及以上期刊发表学术论文</w:t>
      </w:r>
      <w:r>
        <w:rPr>
          <w:rFonts w:hint="eastAsia" w:ascii="仿宋_GB2312" w:hAnsi="宋体" w:eastAsia="仿宋_GB2312"/>
          <w:sz w:val="32"/>
          <w:szCs w:val="32"/>
        </w:rPr>
        <w:t>2篇及以上</w:t>
      </w:r>
      <w:r>
        <w:rPr>
          <w:rFonts w:hint="eastAsia" w:ascii="仿宋_GB2312" w:hAnsi="宋体" w:eastAsia="仿宋_GB2312"/>
          <w:color w:val="000000"/>
          <w:sz w:val="32"/>
          <w:szCs w:val="32"/>
        </w:rPr>
        <w:t>。</w:t>
      </w:r>
    </w:p>
    <w:p w14:paraId="44198C4A">
      <w:pPr>
        <w:widowControl/>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w:t>
      </w:r>
      <w:r>
        <w:rPr>
          <w:rFonts w:hint="eastAsia" w:ascii="仿宋_GB2312" w:hAnsi="宋体" w:eastAsia="仿宋_GB2312"/>
          <w:color w:val="000000"/>
          <w:sz w:val="32"/>
          <w:szCs w:val="32"/>
        </w:rPr>
        <w:t>获授权的国家发明专利1项(排名第1或研究生排名第一，本人排名第二)，或发布行业标准1项（排名前3），或省级地方标准1项（排名第2），同时作为第一作者/通讯作者在</w:t>
      </w:r>
      <w:r>
        <w:rPr>
          <w:rFonts w:hint="eastAsia" w:ascii="仿宋_GB2312" w:hAnsi="宋体" w:eastAsia="仿宋_GB2312"/>
          <w:sz w:val="32"/>
          <w:szCs w:val="32"/>
        </w:rPr>
        <w:t>中文核心（或SCD）</w:t>
      </w:r>
      <w:r>
        <w:rPr>
          <w:rFonts w:hint="eastAsia" w:ascii="仿宋_GB2312" w:hAnsi="宋体" w:eastAsia="仿宋_GB2312"/>
          <w:color w:val="000000"/>
          <w:sz w:val="32"/>
          <w:szCs w:val="32"/>
        </w:rPr>
        <w:t>及以上期刊发表学术论文</w:t>
      </w:r>
      <w:r>
        <w:rPr>
          <w:rFonts w:ascii="仿宋_GB2312" w:hAnsi="宋体" w:eastAsia="仿宋_GB2312"/>
          <w:sz w:val="32"/>
          <w:szCs w:val="32"/>
        </w:rPr>
        <w:t>2</w:t>
      </w:r>
      <w:r>
        <w:rPr>
          <w:rFonts w:hint="eastAsia" w:ascii="仿宋_GB2312" w:hAnsi="宋体" w:eastAsia="仿宋_GB2312"/>
          <w:sz w:val="32"/>
          <w:szCs w:val="32"/>
        </w:rPr>
        <w:t>篇及</w:t>
      </w:r>
      <w:r>
        <w:rPr>
          <w:rFonts w:hint="eastAsia" w:ascii="仿宋_GB2312" w:hAnsi="宋体" w:eastAsia="仿宋_GB2312"/>
          <w:color w:val="000000"/>
          <w:sz w:val="32"/>
          <w:szCs w:val="32"/>
        </w:rPr>
        <w:t>以上</w:t>
      </w:r>
      <w:r>
        <w:rPr>
          <w:rFonts w:hint="eastAsia" w:ascii="仿宋_GB2312" w:hAnsi="宋体" w:eastAsia="仿宋_GB2312"/>
          <w:sz w:val="32"/>
          <w:szCs w:val="32"/>
        </w:rPr>
        <w:t>。</w:t>
      </w:r>
    </w:p>
    <w:p w14:paraId="4091D369">
      <w:pPr>
        <w:spacing w:line="560" w:lineRule="exact"/>
        <w:ind w:firstLine="640" w:firstLineChars="200"/>
        <w:rPr>
          <w:rFonts w:ascii="仿宋_GB2312" w:hAnsi="仿宋_GB2312" w:eastAsia="仿宋_GB2312" w:cs="仿宋_GB2312"/>
          <w:color w:val="000000"/>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7</w:t>
      </w:r>
      <w:r>
        <w:rPr>
          <w:rFonts w:hint="eastAsia" w:ascii="仿宋_GB2312" w:hAnsi="宋体" w:eastAsia="仿宋_GB2312"/>
          <w:sz w:val="32"/>
          <w:szCs w:val="32"/>
          <w:lang w:eastAsia="zh-CN"/>
        </w:rPr>
        <w:t>）</w:t>
      </w:r>
      <w:r>
        <w:rPr>
          <w:rFonts w:hint="eastAsia" w:ascii="仿宋_GB2312" w:hAnsi="仿宋_GB2312" w:eastAsia="仿宋_GB2312" w:cs="仿宋_GB2312"/>
          <w:color w:val="000000"/>
          <w:sz w:val="32"/>
          <w:szCs w:val="32"/>
        </w:rPr>
        <w:t>专业型硕导符合以下条件之一者，可在1个专业学位类别下申请2个领域：（1）作为排名第一的指导教师，指导学生参加“中国研究生创新实践系列大赛”“《全国普通高校大学生竞赛分析报告》竞赛目录内赛事”并获国家级二等奖及以上奖项；（2）近3年年均横向项目到帐经费自然科学类不低于10万元。</w:t>
      </w:r>
    </w:p>
    <w:p w14:paraId="4647E503">
      <w:pPr>
        <w:adjustRightInd w:val="0"/>
        <w:snapToGrid w:val="0"/>
        <w:spacing w:line="560" w:lineRule="exact"/>
        <w:ind w:firstLine="560"/>
        <w:rPr>
          <w:rFonts w:ascii="黑体" w:hAnsi="黑体" w:eastAsia="黑体" w:cstheme="minorEastAsia"/>
          <w:sz w:val="32"/>
          <w:szCs w:val="32"/>
        </w:rPr>
      </w:pPr>
      <w:r>
        <w:rPr>
          <w:rFonts w:hint="eastAsia" w:ascii="黑体" w:hAnsi="黑体" w:eastAsia="黑体" w:cstheme="minorEastAsia"/>
          <w:sz w:val="32"/>
          <w:szCs w:val="32"/>
        </w:rPr>
        <w:t>四、导师岗位年度审核时间、工作程序及支撑材料</w:t>
      </w:r>
    </w:p>
    <w:p w14:paraId="1FEA2937">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 导师系统填报和提交材料时间为</w:t>
      </w:r>
      <w:r>
        <w:rPr>
          <w:rFonts w:hint="eastAsia" w:ascii="仿宋_GB2312" w:hAnsi="宋体" w:eastAsia="仿宋_GB2312"/>
          <w:color w:val="000000"/>
          <w:sz w:val="32"/>
          <w:szCs w:val="32"/>
        </w:rPr>
        <w:t>2</w:t>
      </w:r>
      <w:r>
        <w:rPr>
          <w:rFonts w:ascii="仿宋_GB2312" w:hAnsi="宋体" w:eastAsia="仿宋_GB2312"/>
          <w:color w:val="000000"/>
          <w:sz w:val="32"/>
          <w:szCs w:val="32"/>
        </w:rPr>
        <w:t>025</w:t>
      </w:r>
      <w:r>
        <w:rPr>
          <w:rFonts w:hint="eastAsia" w:ascii="仿宋_GB2312" w:hAnsi="宋体" w:eastAsia="仿宋_GB2312"/>
          <w:color w:val="000000"/>
          <w:sz w:val="32"/>
          <w:szCs w:val="32"/>
        </w:rPr>
        <w:t>年</w:t>
      </w:r>
      <w:r>
        <w:rPr>
          <w:rFonts w:ascii="仿宋_GB2312" w:hAnsi="宋体" w:eastAsia="仿宋_GB2312"/>
          <w:color w:val="000000"/>
          <w:sz w:val="32"/>
          <w:szCs w:val="32"/>
        </w:rPr>
        <w:t>6</w:t>
      </w:r>
      <w:r>
        <w:rPr>
          <w:rFonts w:hint="eastAsia" w:ascii="仿宋_GB2312" w:hAnsi="宋体" w:eastAsia="仿宋_GB2312"/>
          <w:color w:val="000000"/>
          <w:sz w:val="32"/>
          <w:szCs w:val="32"/>
        </w:rPr>
        <w:t>月</w:t>
      </w:r>
      <w:r>
        <w:rPr>
          <w:rFonts w:ascii="仿宋_GB2312" w:hAnsi="宋体" w:eastAsia="仿宋_GB2312"/>
          <w:color w:val="000000"/>
          <w:sz w:val="32"/>
          <w:szCs w:val="32"/>
        </w:rPr>
        <w:t>5</w:t>
      </w:r>
      <w:r>
        <w:rPr>
          <w:rFonts w:hint="eastAsia" w:ascii="仿宋_GB2312" w:hAnsi="宋体" w:eastAsia="仿宋_GB2312"/>
          <w:color w:val="000000"/>
          <w:sz w:val="32"/>
          <w:szCs w:val="32"/>
        </w:rPr>
        <w:t>日-</w:t>
      </w:r>
      <w:r>
        <w:rPr>
          <w:rFonts w:ascii="仿宋_GB2312" w:hAnsi="宋体" w:eastAsia="仿宋_GB2312"/>
          <w:color w:val="000000"/>
          <w:sz w:val="32"/>
          <w:szCs w:val="32"/>
        </w:rPr>
        <w:t>6</w:t>
      </w:r>
      <w:r>
        <w:rPr>
          <w:rFonts w:hint="eastAsia" w:ascii="仿宋_GB2312" w:hAnsi="宋体" w:eastAsia="仿宋_GB2312"/>
          <w:color w:val="000000"/>
          <w:sz w:val="32"/>
          <w:szCs w:val="32"/>
        </w:rPr>
        <w:t>月9日；学位点审核时间为</w:t>
      </w:r>
      <w:r>
        <w:rPr>
          <w:rFonts w:ascii="仿宋_GB2312" w:hAnsi="宋体" w:eastAsia="仿宋_GB2312"/>
          <w:color w:val="000000"/>
          <w:sz w:val="32"/>
          <w:szCs w:val="32"/>
        </w:rPr>
        <w:t>2025</w:t>
      </w:r>
      <w:r>
        <w:rPr>
          <w:rFonts w:hint="eastAsia" w:ascii="仿宋_GB2312" w:hAnsi="宋体" w:eastAsia="仿宋_GB2312"/>
          <w:color w:val="000000"/>
          <w:sz w:val="32"/>
          <w:szCs w:val="32"/>
        </w:rPr>
        <w:t>年</w:t>
      </w:r>
      <w:r>
        <w:rPr>
          <w:rFonts w:ascii="仿宋_GB2312" w:hAnsi="宋体" w:eastAsia="仿宋_GB2312"/>
          <w:color w:val="000000"/>
          <w:sz w:val="32"/>
          <w:szCs w:val="32"/>
        </w:rPr>
        <w:t>6</w:t>
      </w:r>
      <w:r>
        <w:rPr>
          <w:rFonts w:hint="eastAsia" w:ascii="仿宋_GB2312" w:hAnsi="宋体" w:eastAsia="仿宋_GB2312"/>
          <w:color w:val="000000"/>
          <w:sz w:val="32"/>
          <w:szCs w:val="32"/>
        </w:rPr>
        <w:t>月</w:t>
      </w:r>
      <w:r>
        <w:rPr>
          <w:rFonts w:ascii="仿宋_GB2312" w:hAnsi="宋体" w:eastAsia="仿宋_GB2312"/>
          <w:color w:val="000000"/>
          <w:sz w:val="32"/>
          <w:szCs w:val="32"/>
        </w:rPr>
        <w:t>1</w:t>
      </w:r>
      <w:r>
        <w:rPr>
          <w:rFonts w:hint="eastAsia" w:ascii="仿宋_GB2312" w:hAnsi="宋体" w:eastAsia="仿宋_GB2312"/>
          <w:color w:val="000000"/>
          <w:sz w:val="32"/>
          <w:szCs w:val="32"/>
        </w:rPr>
        <w:t>1日前，学位分委员会审核时间为</w:t>
      </w:r>
      <w:r>
        <w:rPr>
          <w:rFonts w:ascii="仿宋_GB2312" w:hAnsi="宋体" w:eastAsia="仿宋_GB2312"/>
          <w:color w:val="000000"/>
          <w:sz w:val="32"/>
          <w:szCs w:val="32"/>
        </w:rPr>
        <w:t>6</w:t>
      </w:r>
      <w:r>
        <w:rPr>
          <w:rFonts w:hint="eastAsia" w:ascii="仿宋_GB2312" w:hAnsi="宋体" w:eastAsia="仿宋_GB2312"/>
          <w:color w:val="000000"/>
          <w:sz w:val="32"/>
          <w:szCs w:val="32"/>
        </w:rPr>
        <w:t>月</w:t>
      </w:r>
      <w:r>
        <w:rPr>
          <w:rFonts w:ascii="仿宋_GB2312" w:hAnsi="宋体" w:eastAsia="仿宋_GB2312"/>
          <w:color w:val="000000"/>
          <w:sz w:val="32"/>
          <w:szCs w:val="32"/>
        </w:rPr>
        <w:t>1</w:t>
      </w:r>
      <w:r>
        <w:rPr>
          <w:rFonts w:hint="eastAsia" w:ascii="仿宋_GB2312" w:hAnsi="宋体" w:eastAsia="仿宋_GB2312"/>
          <w:color w:val="000000"/>
          <w:sz w:val="32"/>
          <w:szCs w:val="32"/>
        </w:rPr>
        <w:t>2日前。</w:t>
      </w:r>
      <w:r>
        <w:rPr>
          <w:rFonts w:hint="eastAsia" w:ascii="仿宋_GB2312" w:hAnsi="宋体" w:eastAsia="仿宋_GB2312"/>
          <w:color w:val="FFFFFF"/>
          <w:sz w:val="32"/>
          <w:szCs w:val="32"/>
        </w:rPr>
        <w:t>。</w:t>
      </w:r>
    </w:p>
    <w:p w14:paraId="753BE8E3">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各学科的硕士生导师，登陆贵州大学研究生管理信息系统（http://gsgl.gzu.edu.cn/）填报导师年审申请，打印并提交2025年度硕士研究生导师申请审核表，同时提交与导师申请审核表里填写的所有信息完全一致的支撑材料（电子版），以及填写《202</w:t>
      </w:r>
      <w:r>
        <w:rPr>
          <w:rFonts w:ascii="仿宋_GB2312" w:hAnsi="宋体" w:eastAsia="仿宋_GB2312"/>
          <w:sz w:val="32"/>
          <w:szCs w:val="32"/>
        </w:rPr>
        <w:t>5</w:t>
      </w:r>
      <w:r>
        <w:rPr>
          <w:rFonts w:hint="eastAsia" w:ascii="仿宋_GB2312" w:hAnsi="宋体" w:eastAsia="仿宋_GB2312"/>
          <w:sz w:val="32"/>
          <w:szCs w:val="32"/>
        </w:rPr>
        <w:t>年硕士研究生导师招生资格审核汇总表》给所在一级或二级学科负责人处，经一级或二级学科负责人按条件审核签署意见（含师德师风审核和推荐意见），最后由一级学科汇总后组织审核，填写学科/专业评审意见，须注明符合导师招生资格年审实施细则的第几条第几款第几点。没有签署审核意见或审核不符合条件的，学院学位分委员会不予受理。</w:t>
      </w:r>
    </w:p>
    <w:p w14:paraId="1662385D">
      <w:pPr>
        <w:widowControl/>
        <w:spacing w:line="360" w:lineRule="auto"/>
        <w:ind w:firstLine="320" w:firstLineChars="100"/>
        <w:rPr>
          <w:rFonts w:ascii="仿宋_GB2312" w:hAnsi="宋体" w:eastAsia="仿宋_GB2312"/>
          <w:sz w:val="32"/>
          <w:szCs w:val="32"/>
        </w:rPr>
      </w:pPr>
      <w:r>
        <w:rPr>
          <w:rFonts w:hint="eastAsia" w:ascii="仿宋_GB2312" w:hAnsi="宋体" w:eastAsia="仿宋_GB2312"/>
          <w:sz w:val="32"/>
          <w:szCs w:val="32"/>
        </w:rPr>
        <w:t>(三)学院学位评定分委员会根据申请人相关材料进行审核，以无记名投票方式表决决定，到会人数须达到应</w:t>
      </w:r>
      <w:r>
        <w:rPr>
          <w:rFonts w:hint="eastAsia" w:ascii="仿宋_GB2312" w:hAnsi="宋体" w:eastAsia="仿宋_GB2312"/>
          <w:sz w:val="32"/>
          <w:szCs w:val="32"/>
          <w:lang w:val="en-US" w:eastAsia="zh-CN"/>
        </w:rPr>
        <w:t>到</w:t>
      </w:r>
      <w:r>
        <w:rPr>
          <w:rFonts w:hint="eastAsia" w:ascii="仿宋_GB2312" w:hAnsi="宋体" w:eastAsia="仿宋_GB2312"/>
          <w:sz w:val="32"/>
          <w:szCs w:val="32"/>
        </w:rPr>
        <w:t>会人数的三分之二及以上，同意人数达到应</w:t>
      </w:r>
      <w:r>
        <w:rPr>
          <w:rFonts w:hint="eastAsia" w:ascii="仿宋_GB2312" w:hAnsi="宋体" w:eastAsia="仿宋_GB2312"/>
          <w:sz w:val="32"/>
          <w:szCs w:val="32"/>
          <w:lang w:val="en-US" w:eastAsia="zh-CN"/>
        </w:rPr>
        <w:t>到</w:t>
      </w:r>
      <w:r>
        <w:rPr>
          <w:rFonts w:hint="eastAsia" w:ascii="仿宋_GB2312" w:hAnsi="宋体" w:eastAsia="仿宋_GB2312"/>
          <w:sz w:val="32"/>
          <w:szCs w:val="32"/>
        </w:rPr>
        <w:t>会人数二分之一及以上者即为通过。学位评定分委员会将审核通过的研究生指导教师候选人推荐名单予以公示（不少于3个工作日），无异议后汇总上报</w:t>
      </w:r>
      <w:r>
        <w:rPr>
          <w:rFonts w:hint="eastAsia" w:ascii="仿宋_GB2312" w:hAnsi="宋体" w:eastAsia="仿宋_GB2312"/>
          <w:sz w:val="32"/>
          <w:szCs w:val="32"/>
          <w:lang w:val="en-US" w:eastAsia="zh-CN"/>
        </w:rPr>
        <w:t>研究生院</w:t>
      </w:r>
      <w:r>
        <w:rPr>
          <w:rFonts w:hint="eastAsia" w:ascii="仿宋_GB2312" w:hAnsi="宋体" w:eastAsia="仿宋_GB2312"/>
          <w:sz w:val="32"/>
          <w:szCs w:val="32"/>
        </w:rPr>
        <w:t>备案。</w:t>
      </w:r>
    </w:p>
    <w:p w14:paraId="1A6CDBC2">
      <w:pPr>
        <w:adjustRightInd w:val="0"/>
        <w:snapToGrid w:val="0"/>
        <w:spacing w:line="560" w:lineRule="exact"/>
        <w:ind w:firstLine="560"/>
        <w:rPr>
          <w:rFonts w:ascii="仿宋_GB2312" w:hAnsi="仿宋" w:eastAsia="仿宋_GB2312" w:cstheme="minorEastAsia"/>
          <w:sz w:val="32"/>
          <w:szCs w:val="32"/>
        </w:rPr>
      </w:pPr>
      <w:r>
        <w:rPr>
          <w:rFonts w:hint="eastAsia" w:ascii="仿宋_GB2312" w:hAnsi="仿宋" w:eastAsia="仿宋_GB2312" w:cstheme="minorEastAsia"/>
          <w:sz w:val="32"/>
          <w:szCs w:val="32"/>
        </w:rPr>
        <w:t>3.材料报送时间：2025年6月</w:t>
      </w:r>
      <w:r>
        <w:rPr>
          <w:rFonts w:ascii="仿宋_GB2312" w:hAnsi="仿宋" w:eastAsia="仿宋_GB2312" w:cstheme="minorEastAsia"/>
          <w:sz w:val="32"/>
          <w:szCs w:val="32"/>
        </w:rPr>
        <w:t>9</w:t>
      </w:r>
      <w:r>
        <w:rPr>
          <w:rFonts w:hint="eastAsia" w:ascii="仿宋_GB2312" w:hAnsi="仿宋" w:eastAsia="仿宋_GB2312" w:cstheme="minorEastAsia"/>
          <w:sz w:val="32"/>
          <w:szCs w:val="32"/>
        </w:rPr>
        <w:t>日前。纸质版交到学院研究生办公室，电子版发送至邮箱：</w:t>
      </w:r>
      <w:r>
        <w:fldChar w:fldCharType="begin"/>
      </w:r>
      <w:r>
        <w:instrText xml:space="preserve"> HYPERLINK "mailto:2474811383@qq.com" </w:instrText>
      </w:r>
      <w:r>
        <w:fldChar w:fldCharType="separate"/>
      </w:r>
      <w:r>
        <w:rPr>
          <w:rFonts w:hint="eastAsia" w:ascii="仿宋_GB2312" w:hAnsi="仿宋" w:eastAsia="仿宋_GB2312" w:cstheme="minorEastAsia"/>
          <w:sz w:val="32"/>
          <w:szCs w:val="32"/>
        </w:rPr>
        <w:t>2474811383@qq.com</w:t>
      </w:r>
      <w:r>
        <w:rPr>
          <w:rFonts w:hint="eastAsia" w:ascii="仿宋_GB2312" w:hAnsi="仿宋" w:eastAsia="仿宋_GB2312" w:cstheme="minorEastAsia"/>
          <w:sz w:val="32"/>
          <w:szCs w:val="32"/>
        </w:rPr>
        <w:fldChar w:fldCharType="end"/>
      </w:r>
      <w:r>
        <w:rPr>
          <w:rFonts w:hint="eastAsia" w:ascii="仿宋_GB2312" w:hAnsi="仿宋" w:eastAsia="仿宋_GB2312" w:cstheme="minorEastAsia"/>
          <w:sz w:val="32"/>
          <w:szCs w:val="32"/>
        </w:rPr>
        <w:t>。联系人：陈思民，联系电话：18308505165。</w:t>
      </w:r>
    </w:p>
    <w:p w14:paraId="5D377312">
      <w:pPr>
        <w:adjustRightInd w:val="0"/>
        <w:snapToGrid w:val="0"/>
        <w:spacing w:line="560" w:lineRule="exact"/>
        <w:ind w:firstLine="560"/>
        <w:rPr>
          <w:rFonts w:ascii="黑体" w:hAnsi="黑体" w:eastAsia="黑体" w:cstheme="minorEastAsia"/>
          <w:sz w:val="32"/>
          <w:szCs w:val="32"/>
        </w:rPr>
      </w:pPr>
      <w:r>
        <w:rPr>
          <w:rFonts w:hint="eastAsia" w:ascii="黑体" w:hAnsi="黑体" w:eastAsia="黑体" w:cstheme="minorEastAsia"/>
          <w:sz w:val="32"/>
          <w:szCs w:val="32"/>
        </w:rPr>
        <w:t>五、其他说明</w:t>
      </w:r>
    </w:p>
    <w:p w14:paraId="33467253">
      <w:pPr>
        <w:adjustRightInd w:val="0"/>
        <w:snapToGrid w:val="0"/>
        <w:spacing w:line="560" w:lineRule="exact"/>
        <w:ind w:firstLine="560"/>
        <w:rPr>
          <w:rFonts w:ascii="仿宋_GB2312" w:hAnsi="仿宋" w:eastAsia="仿宋_GB2312" w:cstheme="minorEastAsia"/>
          <w:sz w:val="32"/>
          <w:szCs w:val="32"/>
        </w:rPr>
      </w:pPr>
      <w:r>
        <w:rPr>
          <w:rFonts w:hint="eastAsia" w:ascii="仿宋_GB2312" w:hAnsi="仿宋" w:eastAsia="仿宋_GB2312" w:cstheme="minorEastAsia"/>
          <w:sz w:val="32"/>
          <w:szCs w:val="32"/>
        </w:rPr>
        <w:t>1.各学位点要高度重视，精心组织，注重导师队伍结构优化，加强对教师政治素质、师德师风、学术水平、育人能力、指导经验和培养条件等方面的考核与评价</w:t>
      </w:r>
    </w:p>
    <w:p w14:paraId="309CAC80">
      <w:pPr>
        <w:adjustRightInd w:val="0"/>
        <w:snapToGrid w:val="0"/>
        <w:spacing w:line="560" w:lineRule="exact"/>
        <w:ind w:firstLine="560"/>
        <w:rPr>
          <w:rFonts w:ascii="仿宋_GB2312" w:hAnsi="仿宋" w:eastAsia="仿宋_GB2312" w:cstheme="minorEastAsia"/>
          <w:sz w:val="32"/>
          <w:szCs w:val="32"/>
        </w:rPr>
      </w:pPr>
      <w:r>
        <w:rPr>
          <w:rFonts w:hint="eastAsia" w:ascii="仿宋_GB2312" w:hAnsi="仿宋" w:eastAsia="仿宋_GB2312" w:cstheme="minorEastAsia"/>
          <w:sz w:val="32"/>
          <w:szCs w:val="32"/>
        </w:rPr>
        <w:t>2.一旦发现申请人存在师德师风负面清单，则执行“一票否决”。</w:t>
      </w:r>
    </w:p>
    <w:p w14:paraId="149A522B">
      <w:pPr>
        <w:adjustRightInd w:val="0"/>
        <w:snapToGrid w:val="0"/>
        <w:spacing w:line="560" w:lineRule="exact"/>
        <w:ind w:firstLine="560"/>
        <w:rPr>
          <w:rFonts w:ascii="仿宋_GB2312" w:hAnsi="仿宋" w:eastAsia="仿宋_GB2312" w:cstheme="minorEastAsia"/>
          <w:sz w:val="32"/>
          <w:szCs w:val="32"/>
        </w:rPr>
      </w:pPr>
      <w:r>
        <w:rPr>
          <w:rFonts w:ascii="仿宋_GB2312" w:hAnsi="仿宋" w:eastAsia="仿宋_GB2312" w:cstheme="minorEastAsia"/>
          <w:sz w:val="32"/>
          <w:szCs w:val="32"/>
        </w:rPr>
        <w:t>3</w:t>
      </w:r>
      <w:r>
        <w:rPr>
          <w:rFonts w:hint="eastAsia" w:ascii="仿宋_GB2312" w:hAnsi="仿宋" w:eastAsia="仿宋_GB2312" w:cstheme="minorEastAsia"/>
          <w:sz w:val="32"/>
          <w:szCs w:val="32"/>
        </w:rPr>
        <w:t>.申请人如在本次申请过程中提供虚假信息，一经查实，取消其本次导师岗位申请资格，5年内不得再申请。</w:t>
      </w:r>
    </w:p>
    <w:p w14:paraId="7F4EFC81">
      <w:pPr>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仿宋_GB2312" w:hAnsi="仿宋" w:eastAsia="仿宋_GB2312" w:cstheme="minorEastAsia"/>
          <w:sz w:val="32"/>
          <w:szCs w:val="32"/>
        </w:rPr>
      </w:pPr>
      <w:r>
        <w:rPr>
          <w:rFonts w:ascii="仿宋_GB2312" w:hAnsi="仿宋" w:eastAsia="仿宋_GB2312" w:cstheme="minorEastAsia"/>
          <w:sz w:val="32"/>
          <w:szCs w:val="32"/>
        </w:rPr>
        <w:t>4</w:t>
      </w:r>
      <w:r>
        <w:rPr>
          <w:rFonts w:hint="eastAsia" w:ascii="仿宋_GB2312" w:hAnsi="仿宋" w:eastAsia="仿宋_GB2312" w:cstheme="minorEastAsia"/>
          <w:sz w:val="32"/>
          <w:szCs w:val="32"/>
        </w:rPr>
        <w:t>.</w:t>
      </w:r>
      <w:r>
        <w:rPr>
          <w:rFonts w:hint="eastAsia" w:ascii="仿宋_GB2312" w:hAnsi="仿宋_GB2312" w:eastAsia="仿宋_GB2312" w:cs="仿宋_GB2312"/>
          <w:color w:val="000000"/>
          <w:sz w:val="32"/>
          <w:szCs w:val="32"/>
        </w:rPr>
        <w:t>未参加过最新一期由研究生院组织的导师培训、实验室与设备管理处组织的研究生导师实验室安全专项培训的申请人，不</w:t>
      </w:r>
      <w:r>
        <w:rPr>
          <w:rFonts w:hint="eastAsia" w:ascii="仿宋_GB2312" w:hAnsi="仿宋" w:eastAsia="仿宋_GB2312" w:cstheme="minorEastAsia"/>
          <w:sz w:val="32"/>
          <w:szCs w:val="32"/>
        </w:rPr>
        <w:t>能参加本次硕导年审。</w:t>
      </w:r>
    </w:p>
    <w:p w14:paraId="5021BFED">
      <w:pPr>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仿宋_GB2312" w:hAnsi="仿宋" w:eastAsia="仿宋_GB2312" w:cstheme="minorEastAsia"/>
          <w:sz w:val="32"/>
          <w:szCs w:val="32"/>
          <w:lang w:val="en-US" w:eastAsia="zh-CN"/>
        </w:rPr>
      </w:pPr>
      <w:r>
        <w:rPr>
          <w:rFonts w:hint="eastAsia" w:ascii="仿宋_GB2312" w:hAnsi="仿宋" w:eastAsia="仿宋_GB2312" w:cstheme="minorEastAsia"/>
          <w:sz w:val="32"/>
          <w:szCs w:val="32"/>
          <w:lang w:val="en-US" w:eastAsia="zh-CN"/>
        </w:rPr>
        <w:t>5.同一论文成果只能用于一位导师申报。</w:t>
      </w:r>
      <w:bookmarkStart w:id="1" w:name="_GoBack"/>
      <w:bookmarkEnd w:id="1"/>
    </w:p>
    <w:p w14:paraId="484FEAF3">
      <w:pPr>
        <w:pageBreakBefore w:val="0"/>
        <w:widowControl w:val="0"/>
        <w:kinsoku/>
        <w:wordWrap/>
        <w:overflowPunct/>
        <w:topLinePunct w:val="0"/>
        <w:autoSpaceDE/>
        <w:autoSpaceDN/>
        <w:bidi w:val="0"/>
        <w:adjustRightInd w:val="0"/>
        <w:snapToGrid w:val="0"/>
        <w:spacing w:line="560" w:lineRule="exact"/>
        <w:ind w:firstLine="560"/>
        <w:textAlignment w:val="auto"/>
        <w:rPr>
          <w:rFonts w:hint="default" w:ascii="黑体" w:hAnsi="黑体" w:eastAsia="黑体" w:cstheme="minorEastAsia"/>
          <w:bCs/>
          <w:sz w:val="32"/>
          <w:szCs w:val="32"/>
          <w:lang w:val="en-US" w:eastAsia="zh-CN"/>
        </w:rPr>
      </w:pPr>
      <w:r>
        <w:rPr>
          <w:rFonts w:hint="eastAsia" w:ascii="仿宋_GB2312" w:hAnsi="仿宋" w:eastAsia="仿宋_GB2312" w:cstheme="minorEastAsia"/>
          <w:sz w:val="32"/>
          <w:szCs w:val="32"/>
          <w:lang w:val="en-US" w:eastAsia="zh-CN"/>
        </w:rPr>
        <w:t>6.当年</w:t>
      </w:r>
      <w:r>
        <w:rPr>
          <w:rFonts w:hint="eastAsia" w:ascii="仿宋_GB2312" w:hAnsi="仿宋" w:eastAsia="仿宋_GB2312" w:cstheme="minorEastAsia"/>
          <w:sz w:val="32"/>
          <w:szCs w:val="32"/>
        </w:rPr>
        <w:t>可支配</w:t>
      </w:r>
      <w:r>
        <w:rPr>
          <w:rFonts w:hint="eastAsia" w:ascii="仿宋_GB2312" w:hAnsi="仿宋" w:eastAsia="仿宋_GB2312" w:cstheme="minorEastAsia"/>
          <w:sz w:val="32"/>
          <w:szCs w:val="32"/>
          <w:lang w:val="en-US" w:eastAsia="zh-CN"/>
        </w:rPr>
        <w:t>科研</w:t>
      </w:r>
      <w:r>
        <w:rPr>
          <w:rFonts w:hint="eastAsia" w:ascii="仿宋_GB2312" w:hAnsi="仿宋" w:eastAsia="仿宋_GB2312" w:cstheme="minorEastAsia"/>
          <w:sz w:val="32"/>
          <w:szCs w:val="32"/>
        </w:rPr>
        <w:t>经费</w:t>
      </w:r>
      <w:r>
        <w:rPr>
          <w:rFonts w:hint="eastAsia" w:ascii="仿宋_GB2312" w:hAnsi="仿宋" w:eastAsia="仿宋_GB2312" w:cstheme="minorEastAsia"/>
          <w:sz w:val="32"/>
          <w:szCs w:val="32"/>
          <w:lang w:val="en-US" w:eastAsia="zh-CN"/>
        </w:rPr>
        <w:t>须达到3万元及以上，并</w:t>
      </w:r>
      <w:r>
        <w:rPr>
          <w:rFonts w:hint="eastAsia" w:ascii="仿宋_GB2312" w:hAnsi="仿宋" w:eastAsia="仿宋_GB2312" w:cstheme="minorEastAsia"/>
          <w:sz w:val="32"/>
          <w:szCs w:val="32"/>
        </w:rPr>
        <w:t>以当年单位财务系统截图为证。</w:t>
      </w:r>
    </w:p>
    <w:p w14:paraId="1439EC9C">
      <w:pPr>
        <w:pageBreakBefore w:val="0"/>
        <w:widowControl w:val="0"/>
        <w:kinsoku/>
        <w:wordWrap/>
        <w:overflowPunct/>
        <w:topLinePunct w:val="0"/>
        <w:autoSpaceDE/>
        <w:autoSpaceDN/>
        <w:bidi w:val="0"/>
        <w:adjustRightInd w:val="0"/>
        <w:snapToGrid w:val="0"/>
        <w:spacing w:line="560" w:lineRule="exact"/>
        <w:ind w:firstLine="560"/>
        <w:textAlignment w:val="auto"/>
        <w:rPr>
          <w:rFonts w:ascii="黑体" w:hAnsi="黑体" w:eastAsia="黑体" w:cstheme="minorEastAsia"/>
          <w:bCs/>
          <w:sz w:val="32"/>
          <w:szCs w:val="32"/>
        </w:rPr>
      </w:pPr>
      <w:r>
        <w:rPr>
          <w:rFonts w:hint="eastAsia" w:ascii="黑体" w:hAnsi="黑体" w:eastAsia="黑体" w:cstheme="minorEastAsia"/>
          <w:bCs/>
          <w:sz w:val="32"/>
          <w:szCs w:val="32"/>
        </w:rPr>
        <w:t>六、本方案自发布之日起执行，解释权归院学术评定分委员会。</w:t>
      </w:r>
    </w:p>
    <w:p w14:paraId="097D6342">
      <w:pPr>
        <w:adjustRightInd w:val="0"/>
        <w:snapToGrid w:val="0"/>
        <w:spacing w:line="560" w:lineRule="exact"/>
        <w:ind w:firstLine="560"/>
        <w:rPr>
          <w:rFonts w:ascii="仿宋_GB2312" w:hAnsi="仿宋" w:eastAsia="仿宋_GB2312" w:cstheme="minorEastAsia"/>
          <w:sz w:val="32"/>
          <w:szCs w:val="32"/>
        </w:rPr>
      </w:pPr>
    </w:p>
    <w:p w14:paraId="2A55920D">
      <w:pPr>
        <w:adjustRightInd w:val="0"/>
        <w:snapToGrid w:val="0"/>
        <w:spacing w:line="560" w:lineRule="exact"/>
        <w:ind w:firstLine="4320" w:firstLineChars="1350"/>
        <w:rPr>
          <w:rFonts w:ascii="仿宋_GB2312" w:hAnsi="仿宋" w:eastAsia="仿宋_GB2312" w:cstheme="minorEastAsia"/>
          <w:sz w:val="32"/>
          <w:szCs w:val="32"/>
        </w:rPr>
      </w:pPr>
      <w:r>
        <w:rPr>
          <w:rFonts w:hint="eastAsia" w:ascii="仿宋_GB2312" w:hAnsi="仿宋" w:eastAsia="仿宋_GB2312" w:cstheme="minorEastAsia"/>
          <w:sz w:val="32"/>
          <w:szCs w:val="32"/>
        </w:rPr>
        <w:t>贵州大学建筑与城市规划学院</w:t>
      </w:r>
    </w:p>
    <w:p w14:paraId="2FD0C39B">
      <w:pPr>
        <w:adjustRightInd w:val="0"/>
        <w:snapToGrid w:val="0"/>
        <w:spacing w:line="560" w:lineRule="exact"/>
        <w:ind w:firstLine="5280" w:firstLineChars="1650"/>
        <w:rPr>
          <w:rFonts w:ascii="仿宋_GB2312" w:hAnsi="仿宋" w:eastAsia="仿宋_GB2312" w:cstheme="minorEastAsia"/>
          <w:sz w:val="32"/>
          <w:szCs w:val="32"/>
        </w:rPr>
      </w:pPr>
      <w:r>
        <w:rPr>
          <w:rFonts w:hint="eastAsia" w:ascii="仿宋_GB2312" w:hAnsi="仿宋" w:eastAsia="仿宋_GB2312" w:cstheme="minorEastAsia"/>
          <w:sz w:val="32"/>
          <w:szCs w:val="32"/>
        </w:rPr>
        <w:t>2025年5月30日</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VjMzIyY2MzY2IyNzQ2NmU4NDk5M2M0MWMyZDFmNjkifQ=="/>
  </w:docVars>
  <w:rsids>
    <w:rsidRoot w:val="00BD44F0"/>
    <w:rsid w:val="00003CAB"/>
    <w:rsid w:val="00004CC7"/>
    <w:rsid w:val="000221D1"/>
    <w:rsid w:val="00040E97"/>
    <w:rsid w:val="00041391"/>
    <w:rsid w:val="000521D5"/>
    <w:rsid w:val="00064281"/>
    <w:rsid w:val="00070225"/>
    <w:rsid w:val="000D73AD"/>
    <w:rsid w:val="000E1204"/>
    <w:rsid w:val="001043F6"/>
    <w:rsid w:val="001209FC"/>
    <w:rsid w:val="001210ED"/>
    <w:rsid w:val="001222EA"/>
    <w:rsid w:val="00137855"/>
    <w:rsid w:val="00140A82"/>
    <w:rsid w:val="00150FD4"/>
    <w:rsid w:val="00163C83"/>
    <w:rsid w:val="00174369"/>
    <w:rsid w:val="00182FE8"/>
    <w:rsid w:val="00183E9A"/>
    <w:rsid w:val="001A5549"/>
    <w:rsid w:val="001B6D52"/>
    <w:rsid w:val="001D131C"/>
    <w:rsid w:val="00243D85"/>
    <w:rsid w:val="00251FE9"/>
    <w:rsid w:val="00265E41"/>
    <w:rsid w:val="00287666"/>
    <w:rsid w:val="002C4DFD"/>
    <w:rsid w:val="002E5F22"/>
    <w:rsid w:val="002F1225"/>
    <w:rsid w:val="002F6D15"/>
    <w:rsid w:val="002F6F6F"/>
    <w:rsid w:val="00305EC8"/>
    <w:rsid w:val="0031542D"/>
    <w:rsid w:val="00343C8B"/>
    <w:rsid w:val="00345EE0"/>
    <w:rsid w:val="0039046F"/>
    <w:rsid w:val="003905AE"/>
    <w:rsid w:val="003B6716"/>
    <w:rsid w:val="003C06DB"/>
    <w:rsid w:val="003C6649"/>
    <w:rsid w:val="003D20E2"/>
    <w:rsid w:val="003E240F"/>
    <w:rsid w:val="00405BA5"/>
    <w:rsid w:val="004478E8"/>
    <w:rsid w:val="004820B6"/>
    <w:rsid w:val="004844B9"/>
    <w:rsid w:val="00487427"/>
    <w:rsid w:val="004B0440"/>
    <w:rsid w:val="004D0697"/>
    <w:rsid w:val="004F48AB"/>
    <w:rsid w:val="00511B5E"/>
    <w:rsid w:val="00511DA4"/>
    <w:rsid w:val="005333DC"/>
    <w:rsid w:val="00554986"/>
    <w:rsid w:val="0055715B"/>
    <w:rsid w:val="0056454E"/>
    <w:rsid w:val="00580EB6"/>
    <w:rsid w:val="00593B8D"/>
    <w:rsid w:val="005A00B3"/>
    <w:rsid w:val="005A2CC3"/>
    <w:rsid w:val="005B608D"/>
    <w:rsid w:val="005E325C"/>
    <w:rsid w:val="005E4627"/>
    <w:rsid w:val="005E483A"/>
    <w:rsid w:val="005E6371"/>
    <w:rsid w:val="00601FC2"/>
    <w:rsid w:val="00634B07"/>
    <w:rsid w:val="00636104"/>
    <w:rsid w:val="006767C0"/>
    <w:rsid w:val="006B367B"/>
    <w:rsid w:val="006B672C"/>
    <w:rsid w:val="006C7BDA"/>
    <w:rsid w:val="006D06FC"/>
    <w:rsid w:val="006E2B0D"/>
    <w:rsid w:val="007224C9"/>
    <w:rsid w:val="00751DF9"/>
    <w:rsid w:val="007537E6"/>
    <w:rsid w:val="00761567"/>
    <w:rsid w:val="0079275D"/>
    <w:rsid w:val="007B4040"/>
    <w:rsid w:val="007C10CA"/>
    <w:rsid w:val="007D627D"/>
    <w:rsid w:val="007F0F87"/>
    <w:rsid w:val="00833D46"/>
    <w:rsid w:val="00842656"/>
    <w:rsid w:val="00842E0A"/>
    <w:rsid w:val="00873922"/>
    <w:rsid w:val="008751C2"/>
    <w:rsid w:val="00893A56"/>
    <w:rsid w:val="008A0D05"/>
    <w:rsid w:val="008A7F88"/>
    <w:rsid w:val="008B7218"/>
    <w:rsid w:val="008E60F5"/>
    <w:rsid w:val="008F7146"/>
    <w:rsid w:val="0092064D"/>
    <w:rsid w:val="009351AF"/>
    <w:rsid w:val="00936803"/>
    <w:rsid w:val="00946C21"/>
    <w:rsid w:val="0095078C"/>
    <w:rsid w:val="009A7B22"/>
    <w:rsid w:val="009C3B8B"/>
    <w:rsid w:val="009F056C"/>
    <w:rsid w:val="00A14103"/>
    <w:rsid w:val="00A22142"/>
    <w:rsid w:val="00A4710A"/>
    <w:rsid w:val="00A5185D"/>
    <w:rsid w:val="00A5653E"/>
    <w:rsid w:val="00A66128"/>
    <w:rsid w:val="00AB29E8"/>
    <w:rsid w:val="00AB6750"/>
    <w:rsid w:val="00AE7B7F"/>
    <w:rsid w:val="00B0462C"/>
    <w:rsid w:val="00B07996"/>
    <w:rsid w:val="00B12E87"/>
    <w:rsid w:val="00B3404B"/>
    <w:rsid w:val="00B40898"/>
    <w:rsid w:val="00B57ABA"/>
    <w:rsid w:val="00B6081F"/>
    <w:rsid w:val="00B916C4"/>
    <w:rsid w:val="00BA7D00"/>
    <w:rsid w:val="00BD44F0"/>
    <w:rsid w:val="00BD5C3C"/>
    <w:rsid w:val="00BE0C39"/>
    <w:rsid w:val="00BF7578"/>
    <w:rsid w:val="00C20C0A"/>
    <w:rsid w:val="00C27CDA"/>
    <w:rsid w:val="00C47AD5"/>
    <w:rsid w:val="00C51267"/>
    <w:rsid w:val="00C7567E"/>
    <w:rsid w:val="00C75B05"/>
    <w:rsid w:val="00C859CA"/>
    <w:rsid w:val="00CD2F14"/>
    <w:rsid w:val="00D135CB"/>
    <w:rsid w:val="00D30157"/>
    <w:rsid w:val="00D3265C"/>
    <w:rsid w:val="00D91AA6"/>
    <w:rsid w:val="00D9306D"/>
    <w:rsid w:val="00DA2984"/>
    <w:rsid w:val="00DB1BDC"/>
    <w:rsid w:val="00DB6C93"/>
    <w:rsid w:val="00E141F2"/>
    <w:rsid w:val="00E24AA2"/>
    <w:rsid w:val="00E258FC"/>
    <w:rsid w:val="00E6554A"/>
    <w:rsid w:val="00E73789"/>
    <w:rsid w:val="00E91379"/>
    <w:rsid w:val="00EB11D0"/>
    <w:rsid w:val="00EC359C"/>
    <w:rsid w:val="00F20FAE"/>
    <w:rsid w:val="00F32318"/>
    <w:rsid w:val="00F44C0F"/>
    <w:rsid w:val="00F7016D"/>
    <w:rsid w:val="00FD152B"/>
    <w:rsid w:val="00FD171A"/>
    <w:rsid w:val="00FD302C"/>
    <w:rsid w:val="00FE74A0"/>
    <w:rsid w:val="01877B89"/>
    <w:rsid w:val="033465A6"/>
    <w:rsid w:val="058A5E9A"/>
    <w:rsid w:val="08C72F61"/>
    <w:rsid w:val="091D7025"/>
    <w:rsid w:val="09CA0B1C"/>
    <w:rsid w:val="09E81C05"/>
    <w:rsid w:val="0B9F280D"/>
    <w:rsid w:val="0D8069D8"/>
    <w:rsid w:val="0F2E1672"/>
    <w:rsid w:val="121865DB"/>
    <w:rsid w:val="12777587"/>
    <w:rsid w:val="135E44C2"/>
    <w:rsid w:val="14776021"/>
    <w:rsid w:val="161F2DC4"/>
    <w:rsid w:val="180A55CF"/>
    <w:rsid w:val="1A5B79AD"/>
    <w:rsid w:val="1DEC00F0"/>
    <w:rsid w:val="200C0F32"/>
    <w:rsid w:val="2455763F"/>
    <w:rsid w:val="25290DD3"/>
    <w:rsid w:val="274A5031"/>
    <w:rsid w:val="288D3D6C"/>
    <w:rsid w:val="290D27BA"/>
    <w:rsid w:val="29FF5F3C"/>
    <w:rsid w:val="2DBB4AC8"/>
    <w:rsid w:val="2EF52DE8"/>
    <w:rsid w:val="2F044677"/>
    <w:rsid w:val="2FF975F4"/>
    <w:rsid w:val="30BF083E"/>
    <w:rsid w:val="32987598"/>
    <w:rsid w:val="350038B2"/>
    <w:rsid w:val="35747E49"/>
    <w:rsid w:val="37575C49"/>
    <w:rsid w:val="378620B5"/>
    <w:rsid w:val="37AE54B1"/>
    <w:rsid w:val="38FD1F03"/>
    <w:rsid w:val="3B7302C2"/>
    <w:rsid w:val="3D9F17DB"/>
    <w:rsid w:val="3DB877BB"/>
    <w:rsid w:val="3E774506"/>
    <w:rsid w:val="3F410F47"/>
    <w:rsid w:val="404A384B"/>
    <w:rsid w:val="43996CCD"/>
    <w:rsid w:val="43C755E8"/>
    <w:rsid w:val="44DE6DF6"/>
    <w:rsid w:val="475C24EB"/>
    <w:rsid w:val="49A32653"/>
    <w:rsid w:val="4B7A3887"/>
    <w:rsid w:val="50342958"/>
    <w:rsid w:val="536A5F90"/>
    <w:rsid w:val="553920BD"/>
    <w:rsid w:val="563E1843"/>
    <w:rsid w:val="5708799A"/>
    <w:rsid w:val="58CD3249"/>
    <w:rsid w:val="5A9009D2"/>
    <w:rsid w:val="5AFE3B8D"/>
    <w:rsid w:val="5B705832"/>
    <w:rsid w:val="5C9F54A4"/>
    <w:rsid w:val="62F21F43"/>
    <w:rsid w:val="657A02B4"/>
    <w:rsid w:val="675845E8"/>
    <w:rsid w:val="67605463"/>
    <w:rsid w:val="676E209B"/>
    <w:rsid w:val="68A660EC"/>
    <w:rsid w:val="6A6A44FA"/>
    <w:rsid w:val="6CBB18DB"/>
    <w:rsid w:val="6F375468"/>
    <w:rsid w:val="704C0A9F"/>
    <w:rsid w:val="72231816"/>
    <w:rsid w:val="729C1C07"/>
    <w:rsid w:val="72A05FAF"/>
    <w:rsid w:val="75E711E0"/>
    <w:rsid w:val="769F667C"/>
    <w:rsid w:val="781C169F"/>
    <w:rsid w:val="782F3180"/>
    <w:rsid w:val="78B72DC4"/>
    <w:rsid w:val="7B034450"/>
    <w:rsid w:val="7DAC5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6"/>
    <w:qFormat/>
    <w:uiPriority w:val="0"/>
    <w:rPr>
      <w:rFonts w:ascii="等线" w:hAnsi="等线" w:eastAsia="等线"/>
      <w:kern w:val="2"/>
      <w:sz w:val="18"/>
      <w:szCs w:val="18"/>
    </w:rPr>
  </w:style>
  <w:style w:type="character" w:customStyle="1" w:styleId="13">
    <w:name w:val="页脚 字符"/>
    <w:basedOn w:val="9"/>
    <w:link w:val="5"/>
    <w:qFormat/>
    <w:uiPriority w:val="0"/>
    <w:rPr>
      <w:rFonts w:ascii="等线" w:hAnsi="等线" w:eastAsia="等线"/>
      <w:kern w:val="2"/>
      <w:sz w:val="18"/>
      <w:szCs w:val="18"/>
    </w:rPr>
  </w:style>
  <w:style w:type="character" w:customStyle="1" w:styleId="14">
    <w:name w:val="批注文字 字符"/>
    <w:basedOn w:val="9"/>
    <w:link w:val="3"/>
    <w:qFormat/>
    <w:uiPriority w:val="0"/>
    <w:rPr>
      <w:rFonts w:ascii="等线" w:hAnsi="等线" w:eastAsia="等线"/>
      <w:kern w:val="2"/>
      <w:sz w:val="21"/>
      <w:szCs w:val="22"/>
    </w:rPr>
  </w:style>
  <w:style w:type="character" w:customStyle="1" w:styleId="15">
    <w:name w:val="批注主题 字符"/>
    <w:basedOn w:val="14"/>
    <w:link w:val="7"/>
    <w:qFormat/>
    <w:uiPriority w:val="0"/>
    <w:rPr>
      <w:rFonts w:ascii="等线" w:hAnsi="等线" w:eastAsia="等线"/>
      <w:b/>
      <w:bCs/>
      <w:kern w:val="2"/>
      <w:sz w:val="21"/>
      <w:szCs w:val="22"/>
    </w:rPr>
  </w:style>
  <w:style w:type="character" w:customStyle="1" w:styleId="16">
    <w:name w:val="批注框文本 字符"/>
    <w:basedOn w:val="9"/>
    <w:link w:val="4"/>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1F4CC-58C9-4DD5-9B0D-1082C4667796}">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3089</Words>
  <Characters>3265</Characters>
  <Lines>24</Lines>
  <Paragraphs>6</Paragraphs>
  <TotalTime>1</TotalTime>
  <ScaleCrop>false</ScaleCrop>
  <LinksUpToDate>false</LinksUpToDate>
  <CharactersWithSpaces>3266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2024-04-24T13:20:00Z</dcterms:created>
  <dc:creator>Administrator</dc:creator>
  <cp:lastModifiedBy>Tenet-思</cp:lastModifiedBy>
  <cp:lastPrinted>2022-06-17T03:45:00Z</cp:lastPrinted>
  <dcterms:modified xsi:type="dcterms:W3CDTF">2025-06-06T00:34:41Z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9407324DF48A46ACB43B6B8992B87A89</vt:lpwstr>
  </property>
  <property fmtid="{D5CDD505-2E9C-101B-9397-08002B2CF9AE}" pid="4" name="KSOTemplateDocerSaveRecord">
    <vt:lpwstr>eyJoZGlkIjoiNmVjMzIyY2MzY2IyNzQ2NmU4NDk5M2M0MWMyZDFmNjkiLCJ1c2VySWQiOiIxMjA0NzE0NzE2In0=</vt:lpwstr>
  </property>
</Properties>
</file>