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E8673">
      <w:pPr>
        <w:pStyle w:val="2"/>
        <w:pageBreakBefore w:val="0"/>
        <w:kinsoku/>
        <w:wordWrap/>
        <w:overflowPunct/>
        <w:topLinePunct w:val="0"/>
        <w:autoSpaceDE/>
        <w:autoSpaceDN/>
        <w:bidi w:val="0"/>
        <w:adjustRightInd w:val="0"/>
        <w:snapToGrid w:val="0"/>
        <w:spacing w:before="0" w:after="0" w:line="560" w:lineRule="exact"/>
        <w:jc w:val="center"/>
        <w:textAlignment w:val="auto"/>
        <w:rPr>
          <w:rFonts w:ascii="方正小标宋简体" w:hAnsi="宋体" w:eastAsia="方正小标宋简体"/>
          <w:b w:val="0"/>
          <w:szCs w:val="44"/>
        </w:rPr>
      </w:pPr>
      <w:r>
        <w:rPr>
          <w:rFonts w:hint="eastAsia" w:ascii="方正小标宋简体" w:hAnsi="宋体" w:eastAsia="方正小标宋简体"/>
          <w:b w:val="0"/>
          <w:szCs w:val="44"/>
        </w:rPr>
        <w:t>贵州大学建筑与城市规划学院</w:t>
      </w:r>
    </w:p>
    <w:p w14:paraId="4258B84D">
      <w:pPr>
        <w:pStyle w:val="2"/>
        <w:pageBreakBefore w:val="0"/>
        <w:kinsoku/>
        <w:wordWrap/>
        <w:overflowPunct/>
        <w:topLinePunct w:val="0"/>
        <w:autoSpaceDE/>
        <w:autoSpaceDN/>
        <w:bidi w:val="0"/>
        <w:adjustRightInd w:val="0"/>
        <w:snapToGrid w:val="0"/>
        <w:spacing w:before="0" w:after="0" w:line="560" w:lineRule="exact"/>
        <w:jc w:val="center"/>
        <w:textAlignment w:val="auto"/>
        <w:rPr>
          <w:rFonts w:ascii="仿宋_GB2312" w:hAnsi="宋体" w:eastAsia="方正小标宋简体"/>
          <w:b w:val="0"/>
          <w:szCs w:val="44"/>
        </w:rPr>
      </w:pPr>
      <w:r>
        <w:rPr>
          <w:rFonts w:hint="eastAsia" w:ascii="方正小标宋简体" w:hAnsi="宋体" w:eastAsia="方正小标宋简体"/>
          <w:b w:val="0"/>
          <w:szCs w:val="44"/>
        </w:rPr>
        <w:t>202</w:t>
      </w:r>
      <w:r>
        <w:rPr>
          <w:rFonts w:hint="eastAsia" w:ascii="方正小标宋简体" w:hAnsi="宋体" w:eastAsia="方正小标宋简体"/>
          <w:b w:val="0"/>
          <w:szCs w:val="44"/>
          <w:lang w:val="en-US" w:eastAsia="zh-CN"/>
        </w:rPr>
        <w:t>6</w:t>
      </w:r>
      <w:r>
        <w:rPr>
          <w:rFonts w:hint="eastAsia" w:ascii="方正小标宋简体" w:hAnsi="宋体" w:eastAsia="方正小标宋简体"/>
          <w:b w:val="0"/>
          <w:szCs w:val="44"/>
        </w:rPr>
        <w:t>年研究生导师资格审核实施方案</w:t>
      </w:r>
    </w:p>
    <w:p w14:paraId="60A34999">
      <w:pPr>
        <w:pageBreakBefore w:val="0"/>
        <w:kinsoku/>
        <w:wordWrap/>
        <w:overflowPunct/>
        <w:topLinePunct w:val="0"/>
        <w:autoSpaceDE/>
        <w:autoSpaceDN/>
        <w:bidi w:val="0"/>
        <w:spacing w:line="560" w:lineRule="exact"/>
        <w:textAlignment w:val="auto"/>
        <w:rPr>
          <w:rFonts w:ascii="仿宋_GB2312" w:eastAsia="仿宋_GB2312"/>
          <w:sz w:val="32"/>
          <w:szCs w:val="32"/>
        </w:rPr>
      </w:pPr>
    </w:p>
    <w:p w14:paraId="734B5470">
      <w:pPr>
        <w:pageBreakBefore w:val="0"/>
        <w:kinsoku/>
        <w:wordWrap/>
        <w:overflowPunct/>
        <w:topLinePunct w:val="0"/>
        <w:autoSpaceDE/>
        <w:autoSpaceDN/>
        <w:bidi w:val="0"/>
        <w:adjustRightInd w:val="0"/>
        <w:snapToGrid w:val="0"/>
        <w:spacing w:line="560" w:lineRule="exact"/>
        <w:ind w:firstLine="561"/>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根据《关于开展202</w:t>
      </w:r>
      <w:r>
        <w:rPr>
          <w:rFonts w:hint="eastAsia" w:ascii="仿宋_GB2312" w:hAnsi="仿宋" w:eastAsia="仿宋_GB2312" w:cstheme="minorEastAsia"/>
          <w:sz w:val="32"/>
          <w:szCs w:val="32"/>
          <w:lang w:val="en-US" w:eastAsia="zh-CN"/>
        </w:rPr>
        <w:t>6</w:t>
      </w:r>
      <w:r>
        <w:rPr>
          <w:rFonts w:hint="eastAsia" w:ascii="仿宋_GB2312" w:hAnsi="仿宋" w:eastAsia="仿宋_GB2312" w:cstheme="minorEastAsia"/>
          <w:sz w:val="32"/>
          <w:szCs w:val="32"/>
        </w:rPr>
        <w:t>年度硕士研究生导师资格审核工作的通知》（贵大研</w:t>
      </w:r>
      <w:r>
        <w:rPr>
          <w:rFonts w:hint="eastAsia" w:ascii="仿宋_GB2312" w:hAnsi="仿宋" w:eastAsia="仿宋" w:cstheme="minorEastAsia"/>
          <w:sz w:val="32"/>
          <w:szCs w:val="32"/>
        </w:rPr>
        <w:t>﹝</w:t>
      </w:r>
      <w:r>
        <w:rPr>
          <w:rFonts w:hint="eastAsia" w:ascii="仿宋_GB2312" w:hAnsi="仿宋" w:eastAsia="仿宋_GB2312" w:cstheme="minorEastAsia"/>
          <w:sz w:val="32"/>
          <w:szCs w:val="32"/>
        </w:rPr>
        <w:t>202</w:t>
      </w:r>
      <w:r>
        <w:rPr>
          <w:rFonts w:hint="eastAsia" w:ascii="仿宋_GB2312" w:hAnsi="仿宋" w:eastAsia="仿宋_GB2312" w:cstheme="minorEastAsia"/>
          <w:sz w:val="32"/>
          <w:szCs w:val="32"/>
          <w:lang w:val="en-US" w:eastAsia="zh-CN"/>
        </w:rPr>
        <w:t>6</w:t>
      </w:r>
      <w:r>
        <w:rPr>
          <w:rFonts w:hint="eastAsia" w:ascii="仿宋_GB2312" w:hAnsi="仿宋" w:eastAsia="仿宋" w:cstheme="minorEastAsia"/>
          <w:sz w:val="32"/>
          <w:szCs w:val="32"/>
        </w:rPr>
        <w:t>﹞</w:t>
      </w:r>
      <w:r>
        <w:rPr>
          <w:rFonts w:hint="eastAsia" w:ascii="仿宋_GB2312" w:hAnsi="仿宋" w:eastAsia="仿宋_GB2312" w:cstheme="minorEastAsia"/>
          <w:sz w:val="32"/>
          <w:szCs w:val="32"/>
          <w:lang w:val="en-US" w:eastAsia="zh-CN"/>
        </w:rPr>
        <w:t>57</w:t>
      </w:r>
      <w:r>
        <w:rPr>
          <w:rFonts w:hint="eastAsia" w:ascii="仿宋_GB2312" w:hAnsi="仿宋" w:eastAsia="仿宋_GB2312" w:cstheme="minorEastAsia"/>
          <w:sz w:val="32"/>
          <w:szCs w:val="32"/>
        </w:rPr>
        <w:t>号）文件精神，为加强学院研究生指导教师（以下简称“导师”）队伍建设，提高研究生培养质量，按照学校</w:t>
      </w:r>
      <w:r>
        <w:rPr>
          <w:rFonts w:hint="eastAsia" w:ascii="仿宋_GB2312" w:hAnsi="仿宋" w:eastAsia="仿宋_GB2312" w:cstheme="minorEastAsia"/>
          <w:color w:val="000000" w:themeColor="text1"/>
          <w:sz w:val="32"/>
          <w:szCs w:val="32"/>
        </w:rPr>
        <w:t>规定</w:t>
      </w:r>
      <w:r>
        <w:rPr>
          <w:rFonts w:hint="eastAsia" w:ascii="仿宋_GB2312" w:hAnsi="仿宋" w:eastAsia="仿宋_GB2312" w:cstheme="minorEastAsia"/>
          <w:sz w:val="32"/>
          <w:szCs w:val="32"/>
        </w:rPr>
        <w:t>实施导师</w:t>
      </w:r>
      <w:r>
        <w:rPr>
          <w:rFonts w:hint="eastAsia" w:ascii="仿宋_GB2312" w:hAnsi="仿宋" w:eastAsia="仿宋_GB2312" w:cstheme="minorEastAsia"/>
          <w:color w:val="000000" w:themeColor="text1"/>
          <w:sz w:val="32"/>
          <w:szCs w:val="32"/>
        </w:rPr>
        <w:t>岗位</w:t>
      </w:r>
      <w:r>
        <w:rPr>
          <w:rFonts w:hint="eastAsia" w:ascii="仿宋_GB2312" w:hAnsi="仿宋" w:eastAsia="仿宋_GB2312" w:cstheme="minorEastAsia"/>
          <w:sz w:val="32"/>
          <w:szCs w:val="32"/>
        </w:rPr>
        <w:t>年审制，202</w:t>
      </w:r>
      <w:r>
        <w:rPr>
          <w:rFonts w:hint="eastAsia" w:ascii="仿宋_GB2312" w:hAnsi="仿宋" w:eastAsia="仿宋_GB2312" w:cstheme="minorEastAsia"/>
          <w:sz w:val="32"/>
          <w:szCs w:val="32"/>
          <w:lang w:val="en-US" w:eastAsia="zh-CN"/>
        </w:rPr>
        <w:t>6</w:t>
      </w:r>
      <w:r>
        <w:rPr>
          <w:rFonts w:hint="eastAsia" w:ascii="仿宋_GB2312" w:hAnsi="仿宋" w:eastAsia="仿宋_GB2312" w:cstheme="minorEastAsia"/>
          <w:sz w:val="32"/>
          <w:szCs w:val="32"/>
        </w:rPr>
        <w:t>年进一步落实导师“岗位管理”工作。现制定建筑与城市规划学院202</w:t>
      </w:r>
      <w:r>
        <w:rPr>
          <w:rFonts w:hint="eastAsia" w:ascii="仿宋_GB2312" w:hAnsi="仿宋" w:eastAsia="仿宋_GB2312" w:cstheme="minorEastAsia"/>
          <w:sz w:val="32"/>
          <w:szCs w:val="32"/>
          <w:lang w:val="en-US" w:eastAsia="zh-CN"/>
        </w:rPr>
        <w:t>6</w:t>
      </w:r>
      <w:r>
        <w:rPr>
          <w:rFonts w:hint="eastAsia" w:ascii="仿宋_GB2312" w:hAnsi="仿宋" w:eastAsia="仿宋_GB2312" w:cstheme="minorEastAsia"/>
          <w:sz w:val="32"/>
          <w:szCs w:val="32"/>
        </w:rPr>
        <w:t>年研究生导师资格审核工作方案如下：</w:t>
      </w:r>
    </w:p>
    <w:p w14:paraId="2BF32F12">
      <w:pPr>
        <w:pageBreakBefore w:val="0"/>
        <w:kinsoku/>
        <w:wordWrap/>
        <w:overflowPunct/>
        <w:topLinePunct w:val="0"/>
        <w:autoSpaceDE/>
        <w:autoSpaceDN/>
        <w:bidi w:val="0"/>
        <w:adjustRightInd w:val="0"/>
        <w:snapToGrid w:val="0"/>
        <w:spacing w:line="560" w:lineRule="exact"/>
        <w:ind w:firstLine="560"/>
        <w:textAlignment w:val="auto"/>
        <w:rPr>
          <w:rFonts w:ascii="黑体" w:hAnsi="黑体" w:eastAsia="黑体" w:cstheme="minorEastAsia"/>
          <w:sz w:val="32"/>
          <w:szCs w:val="32"/>
        </w:rPr>
      </w:pPr>
      <w:r>
        <w:rPr>
          <w:rFonts w:hint="eastAsia" w:ascii="黑体" w:hAnsi="黑体" w:eastAsia="黑体" w:cstheme="minorEastAsia"/>
          <w:sz w:val="32"/>
          <w:szCs w:val="32"/>
        </w:rPr>
        <w:t>一、导师岗位申请基本条件</w:t>
      </w:r>
    </w:p>
    <w:p w14:paraId="2B618C0C">
      <w:pPr>
        <w:pageBreakBefore w:val="0"/>
        <w:kinsoku/>
        <w:wordWrap/>
        <w:overflowPunct/>
        <w:topLinePunct w:val="0"/>
        <w:autoSpaceDE/>
        <w:autoSpaceDN/>
        <w:bidi w:val="0"/>
        <w:adjustRightInd w:val="0"/>
        <w:snapToGrid w:val="0"/>
        <w:spacing w:line="560" w:lineRule="exact"/>
        <w:ind w:firstLine="561"/>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1.坚持以习近平新时代中国特色社会主义思想为指导，拥护中国共产党的领导，贯彻党的教育方针。导师作为研究生培养的第一责任人，肩负着为党育人、为国育才的重要使命，具备对研究生进行思想政治教育、学术规范训练、创新能力培养、社会实践引导等基本导师能力。</w:t>
      </w:r>
    </w:p>
    <w:p w14:paraId="3DD8F79C">
      <w:pPr>
        <w:pageBreakBefore w:val="0"/>
        <w:kinsoku/>
        <w:wordWrap/>
        <w:overflowPunct/>
        <w:topLinePunct w:val="0"/>
        <w:autoSpaceDE/>
        <w:autoSpaceDN/>
        <w:bidi w:val="0"/>
        <w:adjustRightInd w:val="0"/>
        <w:snapToGrid w:val="0"/>
        <w:spacing w:line="560" w:lineRule="exact"/>
        <w:ind w:firstLine="561"/>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2.近三年指导的研究生学位论文在论文抽检中未出现质量问题者。</w:t>
      </w:r>
    </w:p>
    <w:p w14:paraId="5A9BBC1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ascii="仿宋_GB2312" w:hAnsi="仿宋" w:eastAsia="仿宋_GB2312" w:cstheme="minorEastAsia"/>
          <w:sz w:val="32"/>
          <w:szCs w:val="32"/>
        </w:rPr>
        <w:t>3.</w:t>
      </w:r>
      <w:r>
        <w:rPr>
          <w:rFonts w:hint="eastAsia" w:ascii="仿宋_GB2312" w:hAnsi="仿宋_GB2312" w:eastAsia="仿宋_GB2312" w:cs="仿宋_GB2312"/>
          <w:color w:val="000000"/>
          <w:sz w:val="32"/>
          <w:szCs w:val="32"/>
          <w:lang w:val="en-US" w:eastAsia="zh-CN"/>
        </w:rPr>
        <w:t>具有副教授、副研究员（包</w:t>
      </w:r>
      <w:bookmarkStart w:id="0" w:name="OLE_LINK9"/>
      <w:r>
        <w:rPr>
          <w:rFonts w:hint="eastAsia" w:ascii="仿宋_GB2312" w:hAnsi="仿宋_GB2312" w:eastAsia="仿宋_GB2312" w:cs="仿宋_GB2312"/>
          <w:color w:val="000000"/>
          <w:sz w:val="32"/>
          <w:szCs w:val="32"/>
          <w:lang w:val="en-US" w:eastAsia="zh-CN"/>
        </w:rPr>
        <w:t>括一流学科特岗人才、享受校聘副教授待遇不超过3年（含）的教师）及以上职称，</w:t>
      </w:r>
      <w:bookmarkEnd w:id="0"/>
      <w:r>
        <w:rPr>
          <w:rFonts w:hint="eastAsia" w:ascii="仿宋_GB2312" w:hAnsi="仿宋_GB2312" w:eastAsia="仿宋_GB2312" w:cs="仿宋_GB2312"/>
          <w:color w:val="000000"/>
          <w:sz w:val="32"/>
          <w:szCs w:val="32"/>
          <w:lang w:val="en-US" w:eastAsia="zh-CN"/>
        </w:rPr>
        <w:t>承担科研项目，科研经费充足，能够提供硕士研究生培养全过程所需的经费，同时还需满足硕导年审要求；具有讲师相当职称，且主持在研国家自科/社科基金及以上级别项目。</w:t>
      </w:r>
    </w:p>
    <w:p w14:paraId="2D3EBDD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具有博士学位的副高及以上实验系列教师，主持在研国家自科/社科基金及以上级别项目的，可申请学术型和专业型硕士研究生导师;主持在研省级自科/社科基金及以上级别项目的，可申请专业型硕士研究生导师。</w:t>
      </w:r>
    </w:p>
    <w:p w14:paraId="58AE66B0">
      <w:pPr>
        <w:pageBreakBefore w:val="0"/>
        <w:kinsoku/>
        <w:wordWrap/>
        <w:overflowPunct/>
        <w:topLinePunct w:val="0"/>
        <w:autoSpaceDE/>
        <w:autoSpaceDN/>
        <w:bidi w:val="0"/>
        <w:adjustRightInd w:val="0"/>
        <w:snapToGrid w:val="0"/>
        <w:spacing w:line="560" w:lineRule="exact"/>
        <w:ind w:firstLine="561"/>
        <w:textAlignment w:val="auto"/>
        <w:rPr>
          <w:rFonts w:ascii="仿宋_GB2312" w:hAnsi="仿宋" w:eastAsia="仿宋_GB2312" w:cstheme="minorEastAsia"/>
          <w:sz w:val="32"/>
          <w:szCs w:val="32"/>
        </w:rPr>
      </w:pPr>
      <w:r>
        <w:rPr>
          <w:rFonts w:ascii="仿宋_GB2312" w:hAnsi="仿宋" w:eastAsia="仿宋_GB2312" w:cstheme="minorEastAsia"/>
          <w:sz w:val="32"/>
          <w:szCs w:val="32"/>
        </w:rPr>
        <w:t>4</w:t>
      </w:r>
      <w:r>
        <w:rPr>
          <w:rFonts w:hint="eastAsia" w:ascii="仿宋_GB2312" w:hAnsi="仿宋" w:eastAsia="仿宋_GB2312" w:cstheme="minorEastAsia"/>
          <w:sz w:val="32"/>
          <w:szCs w:val="32"/>
        </w:rPr>
        <w:t>.除</w:t>
      </w:r>
      <w:r>
        <w:rPr>
          <w:rFonts w:hint="eastAsia" w:ascii="仿宋_GB2312" w:hAnsi="仿宋" w:eastAsia="仿宋_GB2312" w:cstheme="minorEastAsia"/>
          <w:sz w:val="32"/>
          <w:szCs w:val="32"/>
          <w:lang w:val="en-US" w:eastAsia="zh-CN"/>
        </w:rPr>
        <w:t>2025年1月1日之后</w:t>
      </w:r>
      <w:r>
        <w:rPr>
          <w:rFonts w:hint="eastAsia" w:ascii="仿宋_GB2312" w:hAnsi="仿宋" w:eastAsia="仿宋_GB2312" w:cstheme="minorEastAsia"/>
          <w:sz w:val="32"/>
          <w:szCs w:val="32"/>
        </w:rPr>
        <w:t>引进的校内教师及首次申请的校外专家外，硕导申请人所提交成果的第一单位须为贵州大学。</w:t>
      </w:r>
    </w:p>
    <w:p w14:paraId="4855C0DE">
      <w:pPr>
        <w:pageBreakBefore w:val="0"/>
        <w:kinsoku/>
        <w:wordWrap/>
        <w:overflowPunct/>
        <w:topLinePunct w:val="0"/>
        <w:autoSpaceDE/>
        <w:autoSpaceDN/>
        <w:bidi w:val="0"/>
        <w:adjustRightInd w:val="0"/>
        <w:snapToGrid w:val="0"/>
        <w:spacing w:line="560" w:lineRule="exact"/>
        <w:ind w:firstLine="561"/>
        <w:textAlignment w:val="auto"/>
        <w:rPr>
          <w:rFonts w:ascii="仿宋_GB2312" w:hAnsi="仿宋" w:eastAsia="仿宋_GB2312" w:cstheme="minorEastAsia"/>
          <w:sz w:val="32"/>
          <w:szCs w:val="32"/>
        </w:rPr>
      </w:pPr>
      <w:r>
        <w:rPr>
          <w:rFonts w:ascii="仿宋_GB2312" w:hAnsi="仿宋" w:eastAsia="仿宋_GB2312" w:cstheme="minorEastAsia"/>
          <w:sz w:val="32"/>
          <w:szCs w:val="32"/>
        </w:rPr>
        <w:t>5</w:t>
      </w:r>
      <w:r>
        <w:rPr>
          <w:rFonts w:hint="eastAsia" w:ascii="仿宋_GB2312" w:hAnsi="仿宋" w:eastAsia="仿宋_GB2312" w:cstheme="minorEastAsia"/>
          <w:sz w:val="32"/>
          <w:szCs w:val="32"/>
        </w:rPr>
        <w:t>.202</w:t>
      </w:r>
      <w:r>
        <w:rPr>
          <w:rFonts w:hint="eastAsia" w:ascii="仿宋_GB2312" w:hAnsi="仿宋" w:eastAsia="仿宋_GB2312" w:cstheme="minorEastAsia"/>
          <w:sz w:val="32"/>
          <w:szCs w:val="32"/>
          <w:lang w:val="en-US" w:eastAsia="zh-CN"/>
        </w:rPr>
        <w:t>9</w:t>
      </w:r>
      <w:r>
        <w:rPr>
          <w:rFonts w:hint="eastAsia" w:ascii="仿宋_GB2312" w:hAnsi="仿宋" w:eastAsia="仿宋_GB2312" w:cstheme="minorEastAsia"/>
          <w:sz w:val="32"/>
          <w:szCs w:val="32"/>
        </w:rPr>
        <w:t>年7月1日前退休的教师，除《贵州大学校内研究生导师管理办法（试行）》《贵州大学校外研究生导师聘任及管理办法（试行）》（贵大研〔2024〕23号）中规定可适当放宽年龄要求者，不得参加本次年审。</w:t>
      </w:r>
    </w:p>
    <w:p w14:paraId="56D60827">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.符合本学科/专业硕导条件者均可申请，但一位申请人仅能申请1个一级学科下的1个二级学科/方向和1个专业学位类别下的1个领域的导师岗位。</w:t>
      </w:r>
    </w:p>
    <w:p w14:paraId="2F034097">
      <w:pPr>
        <w:pageBreakBefore w:val="0"/>
        <w:kinsoku/>
        <w:wordWrap/>
        <w:overflowPunct/>
        <w:topLinePunct w:val="0"/>
        <w:autoSpaceDE/>
        <w:autoSpaceDN/>
        <w:bidi w:val="0"/>
        <w:adjustRightInd w:val="0"/>
        <w:snapToGrid w:val="0"/>
        <w:spacing w:line="560" w:lineRule="exact"/>
        <w:ind w:firstLine="560"/>
        <w:textAlignment w:val="auto"/>
        <w:rPr>
          <w:rFonts w:hint="eastAsia" w:ascii="黑体" w:hAnsi="黑体" w:eastAsia="黑体" w:cs="黑体"/>
          <w:sz w:val="32"/>
          <w:szCs w:val="32"/>
        </w:rPr>
      </w:pPr>
      <w:r>
        <w:rPr>
          <w:rFonts w:hint="eastAsia" w:ascii="黑体" w:hAnsi="黑体" w:eastAsia="黑体" w:cs="黑体"/>
          <w:sz w:val="32"/>
          <w:szCs w:val="32"/>
        </w:rPr>
        <w:t>二、城乡规划学学术型硕士导师岗位申请条件</w:t>
      </w:r>
    </w:p>
    <w:p w14:paraId="48CF0909">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theme="minorEastAsia"/>
          <w:sz w:val="32"/>
          <w:szCs w:val="32"/>
          <w:lang w:val="en-US" w:eastAsia="zh-CN"/>
        </w:rPr>
        <w:t>1</w:t>
      </w:r>
      <w:r>
        <w:rPr>
          <w:rFonts w:hint="eastAsia" w:ascii="仿宋_GB2312" w:hAnsi="仿宋" w:eastAsia="仿宋_GB2312" w:cstheme="minorEastAsia"/>
          <w:sz w:val="32"/>
          <w:szCs w:val="32"/>
        </w:rPr>
        <w:t>.自202</w:t>
      </w:r>
      <w:r>
        <w:rPr>
          <w:rFonts w:hint="eastAsia" w:ascii="仿宋_GB2312" w:hAnsi="仿宋" w:eastAsia="仿宋_GB2312" w:cstheme="minorEastAsia"/>
          <w:sz w:val="32"/>
          <w:szCs w:val="32"/>
          <w:lang w:val="en-US" w:eastAsia="zh-CN"/>
        </w:rPr>
        <w:t>3</w:t>
      </w:r>
      <w:r>
        <w:rPr>
          <w:rFonts w:hint="eastAsia" w:ascii="仿宋_GB2312" w:hAnsi="仿宋" w:eastAsia="仿宋_GB2312" w:cstheme="minorEastAsia"/>
          <w:sz w:val="32"/>
          <w:szCs w:val="32"/>
        </w:rPr>
        <w:t>年1月1日以来，</w:t>
      </w:r>
      <w:r>
        <w:rPr>
          <w:rFonts w:hint="eastAsia" w:ascii="仿宋_GB2312" w:hAnsi="仿宋" w:eastAsia="仿宋_GB2312"/>
          <w:sz w:val="32"/>
          <w:szCs w:val="32"/>
        </w:rPr>
        <w:t>在所申请的学科专业内取得以下科研、学术及教学业绩之一：</w:t>
      </w:r>
    </w:p>
    <w:p w14:paraId="499A8B84">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（1）作为第一作者/通讯作者在中文核心（或SCD）及以上期刊发表论文2篇，或在SCI/SSCI/CSSCI及以上期刊发表论文1篇；</w:t>
      </w:r>
    </w:p>
    <w:p w14:paraId="48E71A59">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（2）独立或以第一作者身份出版著作1部(本人不少于10万字)，同时作为第一作者/通讯作者在中文核心（或SCD）及以上期刊发表学术论文1篇（含1篇）以上。</w:t>
      </w:r>
    </w:p>
    <w:p w14:paraId="64EAA88A">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sz w:val="32"/>
          <w:szCs w:val="32"/>
        </w:rPr>
      </w:pPr>
      <w:r>
        <w:rPr>
          <w:rFonts w:hint="eastAsia" w:ascii="仿宋_GB2312" w:hAnsi="仿宋" w:eastAsia="仿宋_GB2312"/>
          <w:sz w:val="32"/>
          <w:szCs w:val="32"/>
        </w:rPr>
        <w:t>（3）获国家级奖（不限排名），或省部级科研成果奖、省级教学成果奖、省级一流课程、省级教师教学创新大赛(一等奖排名在前5，二等奖排名前4，三等奖排名前2)，或指导学生参加“挑战杯”“互联网+”“研究生创新系列大赛”“教育部认可的全国普通高校大学生竞赛榜单中竞赛”并获国家级二等奖及以上奖项（不限排名），同时作为第一作者/通讯作者在中文核心（或SCD）及以上期刊发表学术论文1篇（含1篇）以上。</w:t>
      </w:r>
    </w:p>
    <w:p w14:paraId="195098AB">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获授权的国家发明专利1项(排名第1或研究生排名第1，本人排名第2)，或发布行业标准1项（排名前3），或省级地方标准1项（排名前2），同时作为第一作者/通讯作者在中文核心（或SCD）及以上期刊发表学术论文1篇（含1篇）以上。</w:t>
      </w:r>
    </w:p>
    <w:p w14:paraId="0E240377">
      <w:pPr>
        <w:pageBreakBefore w:val="0"/>
        <w:kinsoku/>
        <w:wordWrap/>
        <w:overflowPunct/>
        <w:topLinePunct w:val="0"/>
        <w:autoSpaceDE/>
        <w:autoSpaceDN/>
        <w:bidi w:val="0"/>
        <w:adjustRightInd w:val="0"/>
        <w:snapToGrid w:val="0"/>
        <w:spacing w:line="560" w:lineRule="exact"/>
        <w:ind w:firstLine="561"/>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.学术型硕导</w:t>
      </w:r>
      <w:r>
        <w:rPr>
          <w:rFonts w:hint="eastAsia" w:ascii="仿宋_GB2312" w:hAnsi="黑体" w:eastAsia="仿宋_GB2312" w:cstheme="minorEastAsia"/>
          <w:sz w:val="32"/>
          <w:szCs w:val="32"/>
        </w:rPr>
        <w:t>须将近三年（202</w:t>
      </w:r>
      <w:r>
        <w:rPr>
          <w:rFonts w:hint="eastAsia" w:ascii="仿宋_GB2312" w:hAnsi="黑体" w:eastAsia="仿宋_GB2312" w:cstheme="minorEastAsia"/>
          <w:sz w:val="32"/>
          <w:szCs w:val="32"/>
          <w:lang w:val="en-US" w:eastAsia="zh-CN"/>
        </w:rPr>
        <w:t>3</w:t>
      </w:r>
      <w:r>
        <w:rPr>
          <w:rFonts w:hint="eastAsia" w:ascii="仿宋_GB2312" w:hAnsi="黑体" w:eastAsia="仿宋_GB2312" w:cstheme="minorEastAsia"/>
          <w:sz w:val="32"/>
          <w:szCs w:val="32"/>
        </w:rPr>
        <w:t>年1月以来）</w:t>
      </w:r>
      <w:r>
        <w:rPr>
          <w:rFonts w:hint="eastAsia" w:ascii="仿宋_GB2312" w:hAnsi="仿宋_GB2312" w:eastAsia="仿宋_GB2312" w:cs="仿宋_GB2312"/>
          <w:color w:val="000000"/>
          <w:sz w:val="32"/>
          <w:szCs w:val="32"/>
        </w:rPr>
        <w:t>科学研究学术成果作为支撑材料，并填写《科学研究学术贡献绩效考核积分汇总表》。</w:t>
      </w:r>
    </w:p>
    <w:p w14:paraId="475C045D">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.学术型硕导符合以下条件之一者，可在1个一级学科下申请2个二级学科/方向：（1）近三年，第一作者或主要通讯作者发表SCI二区及以上、C刊（不含扩展版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集刊</w:t>
      </w:r>
      <w:r>
        <w:rPr>
          <w:rFonts w:hint="eastAsia" w:ascii="仿宋_GB2312" w:hAnsi="仿宋_GB2312" w:eastAsia="仿宋_GB2312" w:cs="仿宋_GB2312"/>
          <w:color w:val="000000"/>
          <w:sz w:val="32"/>
          <w:szCs w:val="32"/>
        </w:rPr>
        <w:t>）、SSCI论文，或以共同第一作者/通讯作者发表CNS和《中国社会科学》论文；（2）主持在研国家自科/社科基金及以上档次项目。</w:t>
      </w:r>
    </w:p>
    <w:p w14:paraId="700F67B1">
      <w:pPr>
        <w:pageBreakBefore w:val="0"/>
        <w:kinsoku/>
        <w:wordWrap/>
        <w:overflowPunct/>
        <w:topLinePunct w:val="0"/>
        <w:autoSpaceDE/>
        <w:autoSpaceDN/>
        <w:bidi w:val="0"/>
        <w:adjustRightInd w:val="0"/>
        <w:snapToGrid w:val="0"/>
        <w:spacing w:line="560" w:lineRule="exact"/>
        <w:ind w:firstLine="560"/>
        <w:textAlignment w:val="auto"/>
        <w:rPr>
          <w:rFonts w:ascii="黑体" w:hAnsi="黑体" w:eastAsia="黑体" w:cstheme="minorEastAsia"/>
          <w:color w:val="C00000"/>
          <w:sz w:val="32"/>
          <w:szCs w:val="32"/>
        </w:rPr>
      </w:pPr>
      <w:r>
        <w:rPr>
          <w:rFonts w:hint="eastAsia" w:ascii="黑体" w:hAnsi="黑体" w:eastAsia="黑体" w:cstheme="minorEastAsia"/>
          <w:sz w:val="32"/>
          <w:szCs w:val="32"/>
        </w:rPr>
        <w:t>三、风景园林专业硕士导师岗位申请条件</w:t>
      </w:r>
    </w:p>
    <w:p w14:paraId="176F797B">
      <w:pPr>
        <w:pageBreakBefore w:val="0"/>
        <w:widowControl/>
        <w:kinsoku/>
        <w:wordWrap/>
        <w:overflowPunct/>
        <w:topLinePunct w:val="0"/>
        <w:autoSpaceDE/>
        <w:autoSpaceDN/>
        <w:bidi w:val="0"/>
        <w:spacing w:line="560" w:lineRule="exact"/>
        <w:ind w:firstLine="640" w:firstLineChars="200"/>
        <w:textAlignment w:val="auto"/>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.能够为指导的专业学位硕士研究生提供到企业或行业实践的机会。</w:t>
      </w:r>
    </w:p>
    <w:p w14:paraId="2A942EEA">
      <w:pPr>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宋体"/>
          <w:kern w:val="0"/>
          <w:sz w:val="32"/>
          <w:szCs w:val="32"/>
        </w:rPr>
      </w:pPr>
      <w:r>
        <w:rPr>
          <w:rFonts w:ascii="仿宋_GB2312" w:hAnsi="宋体" w:eastAsia="仿宋_GB2312"/>
          <w:color w:val="000000"/>
          <w:sz w:val="32"/>
          <w:szCs w:val="32"/>
        </w:rPr>
        <w:t>2</w:t>
      </w:r>
      <w:r>
        <w:rPr>
          <w:rFonts w:hint="eastAsia" w:ascii="仿宋_GB2312" w:hAnsi="宋体" w:eastAsia="仿宋_GB2312"/>
          <w:sz w:val="32"/>
          <w:szCs w:val="32"/>
        </w:rPr>
        <w:t>.近三年主持地厅级以上科研课题，且年均可支配纵向科研经费3.0万元以上；或年均可支配横向科研经费5.0万元以上，并在所申请的学科专业内取得以下科研、学术及教学业绩之一：</w:t>
      </w:r>
    </w:p>
    <w:p w14:paraId="11D88893">
      <w:pPr>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bookmarkStart w:id="1" w:name="OLE_LINK37"/>
      <w:r>
        <w:rPr>
          <w:rFonts w:hint="eastAsia" w:ascii="仿宋_GB2312" w:hAnsi="宋体" w:eastAsia="仿宋_GB2312"/>
          <w:sz w:val="32"/>
          <w:szCs w:val="32"/>
        </w:rPr>
        <w:t>（1）</w:t>
      </w:r>
      <w:bookmarkEnd w:id="1"/>
      <w:r>
        <w:rPr>
          <w:rFonts w:hint="eastAsia" w:ascii="仿宋_GB2312" w:hAnsi="宋体" w:eastAsia="仿宋_GB2312"/>
          <w:sz w:val="32"/>
          <w:szCs w:val="32"/>
        </w:rPr>
        <w:t>作为第一作者/通讯作者近3年在中文核心（或SCD）及以上期刊发表论文3篇；校聘副教授近3年在中文核心（或SCD）及以上期刊发表论文4篇。</w:t>
      </w:r>
    </w:p>
    <w:p w14:paraId="3AFC2068">
      <w:pPr>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）独立或以第一作者身份出版著作1部(本人不少于5万字)，或主编或副主编教材1部，同时作为第一作者/通讯作者在中文核心（或SCD）及以上期刊发表学术论文2篇及以上。</w:t>
      </w:r>
    </w:p>
    <w:p w14:paraId="757407AD">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获国家级奖（不限排名）、省部级科研成果奖或获省部级优秀教学成果奖(一等奖排名在前7，二等奖排名前5，三等奖排名前3)，或获地厅级科研成果或教学成果奖一等奖1项（前三名）、或二等奖排名第一；或指导学生获得国际优秀奖以上、国家级优秀奖以上、省级科技竞赛奖（研究生院认定）或省级景观设计奖二等奖及以上，同时作为第一作者/通讯作者在中文核心（或SCD）及以上期刊发表学术论文2篇及以上。</w:t>
      </w:r>
    </w:p>
    <w:p w14:paraId="7F576623">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（4）选育通过审（认）定的林木良种或植物新品种1个（国家级良种排名前5，省级排名前4）及以上，同时作为第一作者/通讯作者在中文核心（或SCD）及以上期刊发表学术论文2篇及以上。</w:t>
      </w:r>
    </w:p>
    <w:p w14:paraId="56F65B4D">
      <w:pPr>
        <w:pageBreakBefore w:val="0"/>
        <w:widowControl/>
        <w:kinsoku/>
        <w:wordWrap/>
        <w:overflowPunct/>
        <w:topLinePunct w:val="0"/>
        <w:autoSpaceDE/>
        <w:autoSpaceDN/>
        <w:bidi w:val="0"/>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sz w:val="32"/>
          <w:szCs w:val="32"/>
        </w:rPr>
        <w:t>（5）在科技成果转化方面做出较大贡献，取得显著社会、经济效益，并为本单位创纯利5万元以上，经同行专家公认在学术、技术上达到省内领先水平(须报专题材料)，同时作为第一作者/通讯作者在中文核心（或SCD）及以上期刊发表学术论文2篇及以上。</w:t>
      </w:r>
    </w:p>
    <w:p w14:paraId="4091D369">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6）获授权的国家发明专利1项(排名第1或研究生排名第一，本人排名第二)，或发布行业标准1项（排名前3），或省级地方标准1项（排名第2），同时作为第一作者/通讯作者在中文核心（或SCD）及以上期刊发表学术论文2篇及以上。</w:t>
      </w:r>
    </w:p>
    <w:p w14:paraId="4647E503">
      <w:pPr>
        <w:pageBreakBefore w:val="0"/>
        <w:kinsoku/>
        <w:wordWrap/>
        <w:overflowPunct/>
        <w:topLinePunct w:val="0"/>
        <w:autoSpaceDE/>
        <w:autoSpaceDN/>
        <w:bidi w:val="0"/>
        <w:adjustRightInd w:val="0"/>
        <w:snapToGrid w:val="0"/>
        <w:spacing w:line="560" w:lineRule="exact"/>
        <w:ind w:firstLine="560"/>
        <w:textAlignment w:val="auto"/>
        <w:rPr>
          <w:rFonts w:ascii="黑体" w:hAnsi="黑体" w:eastAsia="黑体" w:cstheme="minorEastAsia"/>
          <w:sz w:val="32"/>
          <w:szCs w:val="32"/>
        </w:rPr>
      </w:pPr>
      <w:r>
        <w:rPr>
          <w:rFonts w:hint="eastAsia" w:ascii="黑体" w:hAnsi="黑体" w:eastAsia="黑体" w:cstheme="minorEastAsia"/>
          <w:sz w:val="32"/>
          <w:szCs w:val="32"/>
        </w:rPr>
        <w:t>四、导师岗位年度审核时间、工作程序及支撑材料</w:t>
      </w:r>
    </w:p>
    <w:p w14:paraId="1FEA2937">
      <w:pPr>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(一)导师系统填报时间为2026年5月16日-5月18日；提交材料时间为2026年5月19日，学位点审核时间为2026年5月21日前，学位分委员会审核时间为5月25日前。。</w:t>
      </w:r>
    </w:p>
    <w:p w14:paraId="753BE8E3">
      <w:pPr>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（二）各学科的硕士生导师，登陆贵州大学研究生管理信息系统（http://gsgl.gzu.edu.cn/）填报导师年审申请，打印并提交202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度硕士研究生导师申请审核表，同时提交与导师申请审核表里填写的所有信息完全一致的支撑材料（电子版），以及填写《2026年度硕士研究生导师岗位审核汇总表》给所在一级或二级学科负责人处，经一级或二级学科负责人按条件审核签署意见（含师德师风审核和推荐意见），最后由一级学科汇总后组织审核，填写学科/专业评审</w:t>
      </w:r>
      <w:bookmarkStart w:id="5" w:name="_GoBack"/>
      <w:bookmarkEnd w:id="5"/>
      <w:r>
        <w:rPr>
          <w:rFonts w:hint="eastAsia" w:ascii="仿宋_GB2312" w:hAnsi="宋体" w:eastAsia="仿宋_GB2312"/>
          <w:sz w:val="32"/>
          <w:szCs w:val="32"/>
        </w:rPr>
        <w:t>意见，须注明符合导师资格年审实施细则的第几条第几款第几点。没有签署审核意见或审核不符合条件的，学院学位分委员会不予受理。</w:t>
      </w:r>
    </w:p>
    <w:p w14:paraId="1662385D">
      <w:pPr>
        <w:pageBreakBefore w:val="0"/>
        <w:widowControl/>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(三)学院学位评定分委员会根据申请人相关材料进行审核，以无记名投票方式表决决定，到会人数须达到应</w:t>
      </w:r>
      <w:r>
        <w:rPr>
          <w:rFonts w:hint="eastAsia" w:ascii="仿宋_GB2312" w:hAnsi="宋体" w:eastAsia="仿宋_GB2312"/>
          <w:sz w:val="32"/>
          <w:szCs w:val="32"/>
          <w:lang w:val="en-US" w:eastAsia="zh-CN"/>
        </w:rPr>
        <w:t>到</w:t>
      </w:r>
      <w:r>
        <w:rPr>
          <w:rFonts w:hint="eastAsia" w:ascii="仿宋_GB2312" w:hAnsi="宋体" w:eastAsia="仿宋_GB2312"/>
          <w:sz w:val="32"/>
          <w:szCs w:val="32"/>
        </w:rPr>
        <w:t>会人数的三分之二及以上，同意人数达到应</w:t>
      </w:r>
      <w:r>
        <w:rPr>
          <w:rFonts w:hint="eastAsia" w:ascii="仿宋_GB2312" w:hAnsi="宋体" w:eastAsia="仿宋_GB2312"/>
          <w:sz w:val="32"/>
          <w:szCs w:val="32"/>
          <w:lang w:val="en-US" w:eastAsia="zh-CN"/>
        </w:rPr>
        <w:t>到</w:t>
      </w:r>
      <w:r>
        <w:rPr>
          <w:rFonts w:hint="eastAsia" w:ascii="仿宋_GB2312" w:hAnsi="宋体" w:eastAsia="仿宋_GB2312"/>
          <w:sz w:val="32"/>
          <w:szCs w:val="32"/>
        </w:rPr>
        <w:t>会人数二分之一及以上者即为通过。学位评定分委员会将审核通过的研究生指导教师候选人推荐名单予以公示（不少于3个工作日），无异议后汇总上报</w:t>
      </w:r>
      <w:r>
        <w:rPr>
          <w:rFonts w:hint="eastAsia" w:ascii="仿宋_GB2312" w:hAnsi="宋体" w:eastAsia="仿宋_GB2312"/>
          <w:sz w:val="32"/>
          <w:szCs w:val="32"/>
          <w:lang w:val="en-US" w:eastAsia="zh-CN"/>
        </w:rPr>
        <w:t>研究生院</w:t>
      </w:r>
      <w:r>
        <w:rPr>
          <w:rFonts w:hint="eastAsia" w:ascii="仿宋_GB2312" w:hAnsi="宋体" w:eastAsia="仿宋_GB2312"/>
          <w:sz w:val="32"/>
          <w:szCs w:val="32"/>
        </w:rPr>
        <w:t>备案。</w:t>
      </w:r>
    </w:p>
    <w:p w14:paraId="1A6CDBC2">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3.材料报送时间：202</w:t>
      </w:r>
      <w:r>
        <w:rPr>
          <w:rFonts w:hint="eastAsia" w:ascii="仿宋_GB2312" w:hAnsi="仿宋" w:eastAsia="仿宋_GB2312" w:cstheme="minorEastAsia"/>
          <w:sz w:val="32"/>
          <w:szCs w:val="32"/>
          <w:lang w:val="en-US" w:eastAsia="zh-CN"/>
        </w:rPr>
        <w:t>6</w:t>
      </w:r>
      <w:r>
        <w:rPr>
          <w:rFonts w:hint="eastAsia" w:ascii="仿宋_GB2312" w:hAnsi="仿宋" w:eastAsia="仿宋_GB2312" w:cstheme="minorEastAsia"/>
          <w:sz w:val="32"/>
          <w:szCs w:val="32"/>
        </w:rPr>
        <w:t>年</w:t>
      </w:r>
      <w:r>
        <w:rPr>
          <w:rFonts w:hint="eastAsia" w:ascii="仿宋_GB2312" w:hAnsi="仿宋" w:eastAsia="仿宋_GB2312" w:cstheme="minorEastAsia"/>
          <w:sz w:val="32"/>
          <w:szCs w:val="32"/>
          <w:lang w:val="en-US" w:eastAsia="zh-CN"/>
        </w:rPr>
        <w:t>5</w:t>
      </w:r>
      <w:r>
        <w:rPr>
          <w:rFonts w:hint="eastAsia" w:ascii="仿宋_GB2312" w:hAnsi="仿宋" w:eastAsia="仿宋_GB2312" w:cstheme="minorEastAsia"/>
          <w:sz w:val="32"/>
          <w:szCs w:val="32"/>
        </w:rPr>
        <w:t>月</w:t>
      </w:r>
      <w:r>
        <w:rPr>
          <w:rFonts w:hint="eastAsia" w:ascii="仿宋_GB2312" w:hAnsi="仿宋" w:eastAsia="仿宋_GB2312" w:cstheme="minorEastAsia"/>
          <w:sz w:val="32"/>
          <w:szCs w:val="32"/>
          <w:lang w:val="en-US" w:eastAsia="zh-CN"/>
        </w:rPr>
        <w:t>25</w:t>
      </w:r>
      <w:r>
        <w:rPr>
          <w:rFonts w:hint="eastAsia" w:ascii="仿宋_GB2312" w:hAnsi="仿宋" w:eastAsia="仿宋_GB2312" w:cstheme="minorEastAsia"/>
          <w:sz w:val="32"/>
          <w:szCs w:val="32"/>
        </w:rPr>
        <w:t>日前。纸质版交到学院</w:t>
      </w:r>
      <w:r>
        <w:rPr>
          <w:rFonts w:hint="eastAsia" w:ascii="仿宋_GB2312" w:hAnsi="仿宋" w:eastAsia="仿宋_GB2312" w:cstheme="minorEastAsia"/>
          <w:sz w:val="32"/>
          <w:szCs w:val="32"/>
          <w:lang w:val="en-US" w:eastAsia="zh-CN"/>
        </w:rPr>
        <w:t>教学科研科（414</w:t>
      </w:r>
      <w:r>
        <w:rPr>
          <w:rFonts w:hint="eastAsia" w:ascii="仿宋_GB2312" w:hAnsi="仿宋" w:eastAsia="仿宋_GB2312" w:cstheme="minorEastAsia"/>
          <w:sz w:val="32"/>
          <w:szCs w:val="32"/>
        </w:rPr>
        <w:t>室</w:t>
      </w:r>
      <w:r>
        <w:rPr>
          <w:rFonts w:hint="eastAsia" w:ascii="仿宋_GB2312" w:hAnsi="仿宋" w:eastAsia="仿宋_GB2312" w:cstheme="minorEastAsia"/>
          <w:sz w:val="32"/>
          <w:szCs w:val="32"/>
          <w:lang w:val="en-US" w:eastAsia="zh-CN"/>
        </w:rPr>
        <w:t>）</w:t>
      </w:r>
      <w:r>
        <w:rPr>
          <w:rFonts w:hint="eastAsia" w:ascii="仿宋_GB2312" w:hAnsi="仿宋" w:eastAsia="仿宋_GB2312" w:cstheme="minorEastAsia"/>
          <w:sz w:val="32"/>
          <w:szCs w:val="32"/>
        </w:rPr>
        <w:t>，电子版发送至邮箱：</w:t>
      </w:r>
      <w:r>
        <w:fldChar w:fldCharType="begin"/>
      </w:r>
      <w:r>
        <w:instrText xml:space="preserve"> HYPERLINK "mailto:2474811383@qq.com" </w:instrText>
      </w:r>
      <w:r>
        <w:fldChar w:fldCharType="separate"/>
      </w:r>
      <w:r>
        <w:rPr>
          <w:rFonts w:hint="eastAsia" w:ascii="仿宋_GB2312" w:hAnsi="仿宋" w:eastAsia="仿宋_GB2312" w:cstheme="minorEastAsia"/>
          <w:sz w:val="32"/>
          <w:szCs w:val="32"/>
        </w:rPr>
        <w:t>2474811383@qq.com</w:t>
      </w:r>
      <w:r>
        <w:rPr>
          <w:rFonts w:hint="eastAsia" w:ascii="仿宋_GB2312" w:hAnsi="仿宋" w:eastAsia="仿宋_GB2312" w:cstheme="minorEastAsia"/>
          <w:sz w:val="32"/>
          <w:szCs w:val="32"/>
        </w:rPr>
        <w:fldChar w:fldCharType="end"/>
      </w:r>
      <w:r>
        <w:rPr>
          <w:rFonts w:hint="eastAsia" w:ascii="仿宋_GB2312" w:hAnsi="仿宋" w:eastAsia="仿宋_GB2312" w:cstheme="minorEastAsia"/>
          <w:sz w:val="32"/>
          <w:szCs w:val="32"/>
        </w:rPr>
        <w:t>。联系人：陈思民，联系电话：18308505165。</w:t>
      </w:r>
    </w:p>
    <w:p w14:paraId="5D377312">
      <w:pPr>
        <w:pageBreakBefore w:val="0"/>
        <w:kinsoku/>
        <w:wordWrap/>
        <w:overflowPunct/>
        <w:topLinePunct w:val="0"/>
        <w:autoSpaceDE/>
        <w:autoSpaceDN/>
        <w:bidi w:val="0"/>
        <w:adjustRightInd w:val="0"/>
        <w:snapToGrid w:val="0"/>
        <w:spacing w:line="560" w:lineRule="exact"/>
        <w:ind w:firstLine="560"/>
        <w:textAlignment w:val="auto"/>
        <w:rPr>
          <w:rFonts w:ascii="黑体" w:hAnsi="黑体" w:eastAsia="黑体" w:cstheme="minorEastAsia"/>
          <w:sz w:val="32"/>
          <w:szCs w:val="32"/>
        </w:rPr>
      </w:pPr>
      <w:r>
        <w:rPr>
          <w:rFonts w:hint="eastAsia" w:ascii="黑体" w:hAnsi="黑体" w:eastAsia="黑体" w:cstheme="minorEastAsia"/>
          <w:sz w:val="32"/>
          <w:szCs w:val="32"/>
        </w:rPr>
        <w:t>五、其他说明</w:t>
      </w:r>
    </w:p>
    <w:p w14:paraId="33467253">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1.各学位点要高度重视，精心组织，注重导师队伍结构优化，加强对教师政治素质、师德师风、学术水平、育人能力、指导经验和培养条件等方面的考核与评价</w:t>
      </w:r>
    </w:p>
    <w:p w14:paraId="309CAC80">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2.</w:t>
      </w:r>
      <w:r>
        <w:rPr>
          <w:rFonts w:hint="eastAsia" w:ascii="仿宋_GB2312" w:hAnsi="宋体" w:eastAsia="仿宋_GB2312"/>
          <w:sz w:val="32"/>
          <w:szCs w:val="32"/>
        </w:rPr>
        <w:t>学科/专业对申请人师德师风审核意见处：党员由其所在党支部填写，非党员由学院党委书记填写。一旦发现申请人存在师德师风负面清单，则执行“一票否决</w:t>
      </w:r>
      <w:r>
        <w:rPr>
          <w:rFonts w:hint="eastAsia" w:ascii="仿宋_GB2312" w:hAnsi="仿宋" w:eastAsia="仿宋_GB2312" w:cstheme="minorEastAsia"/>
          <w:sz w:val="32"/>
          <w:szCs w:val="32"/>
        </w:rPr>
        <w:t>”。</w:t>
      </w:r>
    </w:p>
    <w:p w14:paraId="4AE239ED">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cstheme="minorEastAsia"/>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校外</w:t>
      </w:r>
      <w:r>
        <w:rPr>
          <w:rFonts w:hint="eastAsia" w:ascii="仿宋_GB2312" w:hAnsi="仿宋_GB2312" w:eastAsia="仿宋_GB2312" w:cs="仿宋_GB2312"/>
          <w:color w:val="000000"/>
          <w:sz w:val="32"/>
          <w:szCs w:val="32"/>
          <w:lang w:val="en-US" w:eastAsia="zh-CN"/>
        </w:rPr>
        <w:t>领导</w:t>
      </w:r>
      <w:r>
        <w:rPr>
          <w:rFonts w:hint="eastAsia" w:ascii="仿宋_GB2312" w:hAnsi="仿宋_GB2312" w:eastAsia="仿宋_GB2312" w:cs="仿宋_GB2312"/>
          <w:color w:val="000000"/>
          <w:sz w:val="32"/>
          <w:szCs w:val="32"/>
        </w:rPr>
        <w:t>干部</w:t>
      </w:r>
      <w:r>
        <w:rPr>
          <w:rFonts w:hint="eastAsia" w:ascii="仿宋_GB2312" w:hAnsi="仿宋_GB2312" w:eastAsia="仿宋_GB2312" w:cs="仿宋_GB2312"/>
          <w:color w:val="000000"/>
          <w:sz w:val="32"/>
          <w:szCs w:val="32"/>
          <w:lang w:val="en-US" w:eastAsia="zh-CN"/>
        </w:rPr>
        <w:t>在我校</w:t>
      </w:r>
      <w:r>
        <w:rPr>
          <w:rFonts w:hint="eastAsia" w:ascii="仿宋_GB2312" w:hAnsi="仿宋_GB2312" w:eastAsia="仿宋_GB2312" w:cs="仿宋_GB2312"/>
          <w:color w:val="000000"/>
          <w:sz w:val="32"/>
          <w:szCs w:val="32"/>
        </w:rPr>
        <w:t>兼职研究生导师须经</w:t>
      </w:r>
      <w:r>
        <w:rPr>
          <w:rFonts w:hint="eastAsia" w:ascii="仿宋_GB2312" w:hAnsi="仿宋_GB2312" w:eastAsia="仿宋_GB2312" w:cs="仿宋_GB2312"/>
          <w:color w:val="000000"/>
          <w:sz w:val="32"/>
          <w:szCs w:val="32"/>
          <w:lang w:val="en-US" w:eastAsia="zh-CN"/>
        </w:rPr>
        <w:t>我校</w:t>
      </w:r>
      <w:r>
        <w:rPr>
          <w:rFonts w:hint="eastAsia" w:ascii="仿宋_GB2312" w:hAnsi="仿宋_GB2312" w:eastAsia="仿宋_GB2312" w:cs="仿宋_GB2312"/>
          <w:color w:val="000000"/>
          <w:sz w:val="32"/>
          <w:szCs w:val="32"/>
        </w:rPr>
        <w:t>审议通过后，方可担任我校研究生导师</w:t>
      </w:r>
      <w:r>
        <w:rPr>
          <w:rFonts w:hint="eastAsia" w:ascii="仿宋_GB2312" w:hAnsi="仿宋_GB2312" w:eastAsia="仿宋_GB2312" w:cs="仿宋_GB2312"/>
          <w:color w:val="000000"/>
          <w:sz w:val="32"/>
          <w:szCs w:val="32"/>
          <w:lang w:val="en-US" w:eastAsia="zh-CN"/>
        </w:rPr>
        <w:t>并进行导师资格年审，且根据相关规定不得在指导我校研究生工作中领取薪酬、奖金、津贴等报酬和获取其他额外利益。</w:t>
      </w:r>
    </w:p>
    <w:p w14:paraId="149A522B">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lang w:val="en-US" w:eastAsia="zh-CN"/>
        </w:rPr>
        <w:t>4</w:t>
      </w:r>
      <w:r>
        <w:rPr>
          <w:rFonts w:hint="eastAsia" w:ascii="仿宋_GB2312" w:hAnsi="仿宋" w:eastAsia="仿宋_GB2312" w:cstheme="minorEastAsia"/>
          <w:sz w:val="32"/>
          <w:szCs w:val="32"/>
        </w:rPr>
        <w:t>.申请人如在本次申请过程中提供虚假信息，一经查实，取消其本次导师岗位申请资格，5年内不得再申请。</w:t>
      </w:r>
    </w:p>
    <w:p w14:paraId="7F4EFC81">
      <w:pPr>
        <w:pageBreakBefore w:val="0"/>
        <w:widowControl w:val="0"/>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cstheme="minorEastAsia"/>
          <w:sz w:val="32"/>
          <w:szCs w:val="32"/>
        </w:rPr>
      </w:pPr>
      <w:r>
        <w:rPr>
          <w:rFonts w:hint="eastAsia" w:ascii="仿宋_GB2312" w:hAnsi="仿宋" w:eastAsia="仿宋_GB2312" w:cstheme="minorEastAsia"/>
          <w:sz w:val="32"/>
          <w:szCs w:val="32"/>
          <w:lang w:val="en-US" w:eastAsia="zh-CN"/>
        </w:rPr>
        <w:t>5</w:t>
      </w:r>
      <w:r>
        <w:rPr>
          <w:rFonts w:hint="eastAsia" w:ascii="仿宋_GB2312" w:hAnsi="仿宋" w:eastAsia="仿宋_GB2312" w:cstheme="minorEastAsia"/>
          <w:sz w:val="32"/>
          <w:szCs w:val="32"/>
        </w:rPr>
        <w:t>.</w:t>
      </w:r>
      <w:r>
        <w:rPr>
          <w:rFonts w:hint="eastAsia" w:ascii="仿宋_GB2312" w:hAnsi="仿宋_GB2312" w:eastAsia="仿宋_GB2312" w:cs="仿宋_GB2312"/>
          <w:color w:val="000000"/>
          <w:sz w:val="32"/>
          <w:szCs w:val="32"/>
          <w:lang w:val="en-US" w:eastAsia="zh-CN"/>
        </w:rPr>
        <w:t>应参加但</w:t>
      </w:r>
      <w:r>
        <w:rPr>
          <w:rFonts w:hint="eastAsia" w:ascii="仿宋_GB2312" w:hAnsi="仿宋_GB2312" w:eastAsia="仿宋_GB2312" w:cs="仿宋_GB2312"/>
          <w:color w:val="000000"/>
          <w:sz w:val="32"/>
          <w:szCs w:val="32"/>
        </w:rPr>
        <w:t>未参加过由研究生院组织的导师培训、实验室与设备管理处组织的研究生导师实验室安全专项培训的申请人，不能参加本次硕导年审</w:t>
      </w:r>
      <w:r>
        <w:rPr>
          <w:rFonts w:hint="eastAsia" w:ascii="仿宋_GB2312" w:hAnsi="仿宋" w:eastAsia="仿宋_GB2312" w:cstheme="minorEastAsia"/>
          <w:sz w:val="32"/>
          <w:szCs w:val="32"/>
        </w:rPr>
        <w:t>。</w:t>
      </w:r>
    </w:p>
    <w:p w14:paraId="5021BFED">
      <w:pPr>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仿宋_GB2312" w:hAnsi="宋体" w:eastAsia="仿宋_GB2312"/>
          <w:sz w:val="32"/>
          <w:szCs w:val="32"/>
          <w:lang w:val="en-US" w:eastAsia="zh-CN"/>
        </w:rPr>
      </w:pPr>
      <w:r>
        <w:rPr>
          <w:rFonts w:hint="eastAsia" w:ascii="仿宋_GB2312" w:hAnsi="仿宋" w:eastAsia="仿宋_GB2312" w:cstheme="minorEastAsia"/>
          <w:sz w:val="32"/>
          <w:szCs w:val="32"/>
          <w:lang w:val="en-US" w:eastAsia="zh-CN"/>
        </w:rPr>
        <w:t>6.</w:t>
      </w:r>
      <w:r>
        <w:rPr>
          <w:rFonts w:hint="eastAsia" w:ascii="仿宋_GB2312" w:hAnsi="宋体" w:eastAsia="仿宋_GB2312"/>
          <w:sz w:val="32"/>
          <w:szCs w:val="32"/>
        </w:rPr>
        <w:t>本文件所指的SCI论文分区均以发表当年中科院大类分区为准。同一文章在校内只能为第一作者或通讯作者之一使用。共同第一作者或共同通讯作者的，仅计排名第一者；一篇SCI文章折算中文核心的办法如下：SCI一区折算4篇、二区折算3篇、三区或四区折算2篇。</w:t>
      </w:r>
    </w:p>
    <w:p w14:paraId="484FEAF3">
      <w:pPr>
        <w:pageBreakBefore w:val="0"/>
        <w:widowControl w:val="0"/>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cstheme="minorEastAsia"/>
          <w:sz w:val="32"/>
          <w:szCs w:val="32"/>
        </w:rPr>
      </w:pPr>
      <w:r>
        <w:rPr>
          <w:rFonts w:hint="eastAsia" w:ascii="仿宋_GB2312" w:hAnsi="仿宋" w:eastAsia="仿宋_GB2312" w:cstheme="minorEastAsia"/>
          <w:sz w:val="32"/>
          <w:szCs w:val="32"/>
          <w:lang w:val="en-US" w:eastAsia="zh-CN"/>
        </w:rPr>
        <w:t>7.当年</w:t>
      </w:r>
      <w:r>
        <w:rPr>
          <w:rFonts w:hint="eastAsia" w:ascii="仿宋_GB2312" w:hAnsi="仿宋" w:eastAsia="仿宋_GB2312" w:cstheme="minorEastAsia"/>
          <w:sz w:val="32"/>
          <w:szCs w:val="32"/>
        </w:rPr>
        <w:t>可支配</w:t>
      </w:r>
      <w:r>
        <w:rPr>
          <w:rFonts w:hint="eastAsia" w:ascii="仿宋_GB2312" w:hAnsi="仿宋" w:eastAsia="仿宋_GB2312" w:cstheme="minorEastAsia"/>
          <w:sz w:val="32"/>
          <w:szCs w:val="32"/>
          <w:lang w:val="en-US" w:eastAsia="zh-CN"/>
        </w:rPr>
        <w:t>科研</w:t>
      </w:r>
      <w:r>
        <w:rPr>
          <w:rFonts w:hint="eastAsia" w:ascii="仿宋_GB2312" w:hAnsi="仿宋" w:eastAsia="仿宋_GB2312" w:cstheme="minorEastAsia"/>
          <w:sz w:val="32"/>
          <w:szCs w:val="32"/>
        </w:rPr>
        <w:t>经费</w:t>
      </w:r>
      <w:r>
        <w:rPr>
          <w:rFonts w:hint="eastAsia" w:ascii="仿宋_GB2312" w:hAnsi="仿宋" w:eastAsia="仿宋_GB2312" w:cstheme="minorEastAsia"/>
          <w:sz w:val="32"/>
          <w:szCs w:val="32"/>
          <w:lang w:val="en-US" w:eastAsia="zh-CN"/>
        </w:rPr>
        <w:t>须达到3万元及以上，并</w:t>
      </w:r>
      <w:r>
        <w:rPr>
          <w:rFonts w:hint="eastAsia" w:ascii="仿宋_GB2312" w:hAnsi="仿宋" w:eastAsia="仿宋_GB2312" w:cstheme="minorEastAsia"/>
          <w:sz w:val="32"/>
          <w:szCs w:val="32"/>
        </w:rPr>
        <w:t>以当年单位财务系统截图为证。</w:t>
      </w:r>
    </w:p>
    <w:p w14:paraId="5E867B85">
      <w:pPr>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仿宋_GB2312" w:hAnsi="仿宋" w:eastAsia="仿宋_GB2312" w:cstheme="minorEastAsia"/>
          <w:sz w:val="32"/>
          <w:szCs w:val="32"/>
          <w:lang w:val="en-US" w:eastAsia="zh-CN"/>
        </w:rPr>
      </w:pPr>
      <w:r>
        <w:rPr>
          <w:rFonts w:hint="eastAsia" w:ascii="仿宋_GB2312" w:hAnsi="仿宋" w:eastAsia="仿宋_GB2312" w:cstheme="minorEastAsia"/>
          <w:sz w:val="32"/>
          <w:szCs w:val="32"/>
          <w:lang w:val="en-US" w:eastAsia="zh-CN"/>
        </w:rPr>
        <w:t>8.</w:t>
      </w:r>
      <w:bookmarkStart w:id="2" w:name="OLE_LINK3"/>
      <w:r>
        <w:rPr>
          <w:rFonts w:hint="eastAsia" w:ascii="仿宋_GB2312" w:hAnsi="仿宋" w:eastAsia="仿宋_GB2312" w:cstheme="minorEastAsia"/>
          <w:sz w:val="32"/>
          <w:szCs w:val="32"/>
          <w:lang w:val="en-US" w:eastAsia="zh-CN"/>
        </w:rPr>
        <w:t>在研究生导师年度审核工作中，</w:t>
      </w:r>
      <w:bookmarkEnd w:id="2"/>
      <w:r>
        <w:rPr>
          <w:rFonts w:hint="eastAsia" w:ascii="仿宋_GB2312" w:hAnsi="仿宋" w:eastAsia="仿宋_GB2312" w:cstheme="minorEastAsia"/>
          <w:sz w:val="32"/>
          <w:szCs w:val="32"/>
          <w:lang w:val="en-US" w:eastAsia="zh-CN"/>
        </w:rPr>
        <w:t>导师的</w:t>
      </w:r>
      <w:bookmarkStart w:id="3" w:name="OLE_LINK8"/>
      <w:r>
        <w:rPr>
          <w:rFonts w:hint="eastAsia" w:ascii="仿宋_GB2312" w:hAnsi="仿宋" w:eastAsia="仿宋_GB2312" w:cstheme="minorEastAsia"/>
          <w:sz w:val="32"/>
          <w:szCs w:val="32"/>
          <w:lang w:val="en-US" w:eastAsia="zh-CN"/>
        </w:rPr>
        <w:t>科研相关信息</w:t>
      </w:r>
      <w:bookmarkEnd w:id="3"/>
      <w:r>
        <w:rPr>
          <w:rFonts w:hint="eastAsia" w:ascii="仿宋_GB2312" w:hAnsi="仿宋" w:eastAsia="仿宋_GB2312" w:cstheme="minorEastAsia"/>
          <w:sz w:val="32"/>
          <w:szCs w:val="32"/>
          <w:lang w:val="en-US" w:eastAsia="zh-CN"/>
        </w:rPr>
        <w:t>均通过</w:t>
      </w:r>
      <w:bookmarkStart w:id="4" w:name="OLE_LINK7"/>
      <w:r>
        <w:rPr>
          <w:rFonts w:hint="eastAsia" w:ascii="仿宋_GB2312" w:hAnsi="仿宋" w:eastAsia="仿宋_GB2312" w:cstheme="minorEastAsia"/>
          <w:sz w:val="32"/>
          <w:szCs w:val="32"/>
          <w:lang w:val="en-US" w:eastAsia="zh-CN"/>
        </w:rPr>
        <w:t>“一表通”</w:t>
      </w:r>
      <w:bookmarkEnd w:id="4"/>
      <w:r>
        <w:rPr>
          <w:rFonts w:hint="eastAsia" w:ascii="仿宋_GB2312" w:hAnsi="仿宋" w:eastAsia="仿宋_GB2312" w:cstheme="minorEastAsia"/>
          <w:sz w:val="32"/>
          <w:szCs w:val="32"/>
          <w:lang w:val="en-US" w:eastAsia="zh-CN"/>
        </w:rPr>
        <w:t>导入贵州大学研究生管理信息系统中，敬请各位申请人注意及时维护学校图书馆“机构知识库”中个人科研数据（当日维护的数据将于次日更新）。</w:t>
      </w:r>
    </w:p>
    <w:p w14:paraId="1439EC9C">
      <w:pPr>
        <w:pageBreakBefore w:val="0"/>
        <w:widowControl w:val="0"/>
        <w:kinsoku/>
        <w:wordWrap/>
        <w:overflowPunct/>
        <w:topLinePunct w:val="0"/>
        <w:autoSpaceDE/>
        <w:autoSpaceDN/>
        <w:bidi w:val="0"/>
        <w:adjustRightInd w:val="0"/>
        <w:snapToGrid w:val="0"/>
        <w:spacing w:line="560" w:lineRule="exact"/>
        <w:ind w:firstLine="560"/>
        <w:textAlignment w:val="auto"/>
        <w:rPr>
          <w:rFonts w:ascii="黑体" w:hAnsi="黑体" w:eastAsia="黑体" w:cstheme="minorEastAsia"/>
          <w:bCs/>
          <w:sz w:val="32"/>
          <w:szCs w:val="32"/>
        </w:rPr>
      </w:pPr>
      <w:r>
        <w:rPr>
          <w:rFonts w:hint="eastAsia" w:ascii="黑体" w:hAnsi="黑体" w:eastAsia="黑体" w:cstheme="minorEastAsia"/>
          <w:bCs/>
          <w:sz w:val="32"/>
          <w:szCs w:val="32"/>
        </w:rPr>
        <w:t>六、本方案自发布之日起执行，解释权归院学术评定分委员会。</w:t>
      </w:r>
    </w:p>
    <w:p w14:paraId="097D6342">
      <w:pPr>
        <w:pageBreakBefore w:val="0"/>
        <w:kinsoku/>
        <w:wordWrap/>
        <w:overflowPunct/>
        <w:topLinePunct w:val="0"/>
        <w:autoSpaceDE/>
        <w:autoSpaceDN/>
        <w:bidi w:val="0"/>
        <w:adjustRightInd w:val="0"/>
        <w:snapToGrid w:val="0"/>
        <w:spacing w:line="560" w:lineRule="exact"/>
        <w:ind w:firstLine="560"/>
        <w:textAlignment w:val="auto"/>
        <w:rPr>
          <w:rFonts w:ascii="仿宋_GB2312" w:hAnsi="仿宋" w:eastAsia="仿宋_GB2312" w:cstheme="minorEastAsia"/>
          <w:sz w:val="32"/>
          <w:szCs w:val="32"/>
        </w:rPr>
      </w:pPr>
    </w:p>
    <w:p w14:paraId="2A55920D">
      <w:pPr>
        <w:pageBreakBefore w:val="0"/>
        <w:kinsoku/>
        <w:wordWrap/>
        <w:overflowPunct/>
        <w:topLinePunct w:val="0"/>
        <w:autoSpaceDE/>
        <w:autoSpaceDN/>
        <w:bidi w:val="0"/>
        <w:adjustRightInd w:val="0"/>
        <w:snapToGrid w:val="0"/>
        <w:spacing w:line="560" w:lineRule="exact"/>
        <w:ind w:firstLine="4320" w:firstLineChars="1350"/>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贵州大学建筑与城市规划学院</w:t>
      </w:r>
    </w:p>
    <w:p w14:paraId="2FD0C39B">
      <w:pPr>
        <w:pageBreakBefore w:val="0"/>
        <w:kinsoku/>
        <w:wordWrap/>
        <w:overflowPunct/>
        <w:topLinePunct w:val="0"/>
        <w:autoSpaceDE/>
        <w:autoSpaceDN/>
        <w:bidi w:val="0"/>
        <w:adjustRightInd w:val="0"/>
        <w:snapToGrid w:val="0"/>
        <w:spacing w:line="560" w:lineRule="exact"/>
        <w:ind w:firstLine="5280" w:firstLineChars="1650"/>
        <w:textAlignment w:val="auto"/>
        <w:rPr>
          <w:rFonts w:ascii="仿宋_GB2312" w:hAnsi="仿宋" w:eastAsia="仿宋_GB2312" w:cstheme="minorEastAsia"/>
          <w:sz w:val="32"/>
          <w:szCs w:val="32"/>
        </w:rPr>
      </w:pPr>
      <w:r>
        <w:rPr>
          <w:rFonts w:hint="eastAsia" w:ascii="仿宋_GB2312" w:hAnsi="仿宋" w:eastAsia="仿宋_GB2312" w:cstheme="minorEastAsia"/>
          <w:sz w:val="32"/>
          <w:szCs w:val="32"/>
        </w:rPr>
        <w:t>202</w:t>
      </w:r>
      <w:r>
        <w:rPr>
          <w:rFonts w:hint="eastAsia" w:ascii="仿宋_GB2312" w:hAnsi="仿宋" w:eastAsia="仿宋_GB2312" w:cstheme="minorEastAsia"/>
          <w:sz w:val="32"/>
          <w:szCs w:val="32"/>
          <w:lang w:val="en-US" w:eastAsia="zh-CN"/>
        </w:rPr>
        <w:t>6</w:t>
      </w:r>
      <w:r>
        <w:rPr>
          <w:rFonts w:hint="eastAsia" w:ascii="仿宋_GB2312" w:hAnsi="仿宋" w:eastAsia="仿宋_GB2312" w:cstheme="minorEastAsia"/>
          <w:sz w:val="32"/>
          <w:szCs w:val="32"/>
        </w:rPr>
        <w:t>年5月</w:t>
      </w:r>
      <w:r>
        <w:rPr>
          <w:rFonts w:hint="eastAsia" w:ascii="仿宋_GB2312" w:hAnsi="仿宋" w:eastAsia="仿宋_GB2312" w:cstheme="minorEastAsia"/>
          <w:sz w:val="32"/>
          <w:szCs w:val="32"/>
          <w:lang w:val="en-US" w:eastAsia="zh-CN"/>
        </w:rPr>
        <w:t>15</w:t>
      </w:r>
      <w:r>
        <w:rPr>
          <w:rFonts w:hint="eastAsia" w:ascii="仿宋_GB2312" w:hAnsi="仿宋" w:eastAsia="仿宋_GB2312" w:cstheme="minorEastAsia"/>
          <w:sz w:val="32"/>
          <w:szCs w:val="32"/>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VjMzIyY2MzY2IyNzQ2NmU4NDk5M2M0MWMyZDFmNjkifQ=="/>
  </w:docVars>
  <w:rsids>
    <w:rsidRoot w:val="00BD44F0"/>
    <w:rsid w:val="00003CAB"/>
    <w:rsid w:val="00004CC7"/>
    <w:rsid w:val="000221D1"/>
    <w:rsid w:val="00040E97"/>
    <w:rsid w:val="00041391"/>
    <w:rsid w:val="000521D5"/>
    <w:rsid w:val="00064281"/>
    <w:rsid w:val="00070225"/>
    <w:rsid w:val="000D73AD"/>
    <w:rsid w:val="000E1204"/>
    <w:rsid w:val="001043F6"/>
    <w:rsid w:val="001209FC"/>
    <w:rsid w:val="001210ED"/>
    <w:rsid w:val="001222EA"/>
    <w:rsid w:val="00137855"/>
    <w:rsid w:val="00140A82"/>
    <w:rsid w:val="00150FD4"/>
    <w:rsid w:val="00163C83"/>
    <w:rsid w:val="00174369"/>
    <w:rsid w:val="00182FE8"/>
    <w:rsid w:val="00183E9A"/>
    <w:rsid w:val="001A5549"/>
    <w:rsid w:val="001B6D52"/>
    <w:rsid w:val="001D131C"/>
    <w:rsid w:val="00243D85"/>
    <w:rsid w:val="00251FE9"/>
    <w:rsid w:val="00265E41"/>
    <w:rsid w:val="00287666"/>
    <w:rsid w:val="002C4DFD"/>
    <w:rsid w:val="002E5F22"/>
    <w:rsid w:val="002F1225"/>
    <w:rsid w:val="002F6D15"/>
    <w:rsid w:val="002F6F6F"/>
    <w:rsid w:val="00305EC8"/>
    <w:rsid w:val="0031542D"/>
    <w:rsid w:val="00343C8B"/>
    <w:rsid w:val="00345EE0"/>
    <w:rsid w:val="0039046F"/>
    <w:rsid w:val="003905AE"/>
    <w:rsid w:val="003B6716"/>
    <w:rsid w:val="003C06DB"/>
    <w:rsid w:val="003C6649"/>
    <w:rsid w:val="003D20E2"/>
    <w:rsid w:val="003E240F"/>
    <w:rsid w:val="00405BA5"/>
    <w:rsid w:val="004478E8"/>
    <w:rsid w:val="004820B6"/>
    <w:rsid w:val="004844B9"/>
    <w:rsid w:val="00487427"/>
    <w:rsid w:val="004B0440"/>
    <w:rsid w:val="004D0697"/>
    <w:rsid w:val="004F48AB"/>
    <w:rsid w:val="00511B5E"/>
    <w:rsid w:val="00511DA4"/>
    <w:rsid w:val="005333DC"/>
    <w:rsid w:val="00554986"/>
    <w:rsid w:val="0055715B"/>
    <w:rsid w:val="0056454E"/>
    <w:rsid w:val="00580EB6"/>
    <w:rsid w:val="00593B8D"/>
    <w:rsid w:val="005A00B3"/>
    <w:rsid w:val="005A2CC3"/>
    <w:rsid w:val="005B608D"/>
    <w:rsid w:val="005E325C"/>
    <w:rsid w:val="005E4627"/>
    <w:rsid w:val="005E483A"/>
    <w:rsid w:val="005E6371"/>
    <w:rsid w:val="00601FC2"/>
    <w:rsid w:val="00634B07"/>
    <w:rsid w:val="00636104"/>
    <w:rsid w:val="006767C0"/>
    <w:rsid w:val="006B367B"/>
    <w:rsid w:val="006B672C"/>
    <w:rsid w:val="006C7BDA"/>
    <w:rsid w:val="006D06FC"/>
    <w:rsid w:val="006E2B0D"/>
    <w:rsid w:val="007224C9"/>
    <w:rsid w:val="00751DF9"/>
    <w:rsid w:val="007537E6"/>
    <w:rsid w:val="00761567"/>
    <w:rsid w:val="0079275D"/>
    <w:rsid w:val="007B4040"/>
    <w:rsid w:val="007C10CA"/>
    <w:rsid w:val="007D627D"/>
    <w:rsid w:val="007F0F87"/>
    <w:rsid w:val="00833D46"/>
    <w:rsid w:val="00842656"/>
    <w:rsid w:val="00842E0A"/>
    <w:rsid w:val="00873922"/>
    <w:rsid w:val="008751C2"/>
    <w:rsid w:val="00893A56"/>
    <w:rsid w:val="008A0D05"/>
    <w:rsid w:val="008A7F88"/>
    <w:rsid w:val="008B7218"/>
    <w:rsid w:val="008E60F5"/>
    <w:rsid w:val="008F7146"/>
    <w:rsid w:val="0092064D"/>
    <w:rsid w:val="009351AF"/>
    <w:rsid w:val="00936803"/>
    <w:rsid w:val="00946C21"/>
    <w:rsid w:val="0095078C"/>
    <w:rsid w:val="009A7B22"/>
    <w:rsid w:val="009C3B8B"/>
    <w:rsid w:val="009F056C"/>
    <w:rsid w:val="00A14103"/>
    <w:rsid w:val="00A22142"/>
    <w:rsid w:val="00A4710A"/>
    <w:rsid w:val="00A5185D"/>
    <w:rsid w:val="00A5653E"/>
    <w:rsid w:val="00A66128"/>
    <w:rsid w:val="00AB29E8"/>
    <w:rsid w:val="00AB6750"/>
    <w:rsid w:val="00AE7B7F"/>
    <w:rsid w:val="00B0462C"/>
    <w:rsid w:val="00B07996"/>
    <w:rsid w:val="00B12E87"/>
    <w:rsid w:val="00B3404B"/>
    <w:rsid w:val="00B40898"/>
    <w:rsid w:val="00B57ABA"/>
    <w:rsid w:val="00B6081F"/>
    <w:rsid w:val="00B916C4"/>
    <w:rsid w:val="00BA7D00"/>
    <w:rsid w:val="00BD44F0"/>
    <w:rsid w:val="00BD5C3C"/>
    <w:rsid w:val="00BE0C39"/>
    <w:rsid w:val="00BF7578"/>
    <w:rsid w:val="00C20C0A"/>
    <w:rsid w:val="00C27CDA"/>
    <w:rsid w:val="00C47AD5"/>
    <w:rsid w:val="00C51267"/>
    <w:rsid w:val="00C7567E"/>
    <w:rsid w:val="00C75B05"/>
    <w:rsid w:val="00C859CA"/>
    <w:rsid w:val="00CD2F14"/>
    <w:rsid w:val="00D135CB"/>
    <w:rsid w:val="00D30157"/>
    <w:rsid w:val="00D3265C"/>
    <w:rsid w:val="00D91AA6"/>
    <w:rsid w:val="00D9306D"/>
    <w:rsid w:val="00DA2984"/>
    <w:rsid w:val="00DB1BDC"/>
    <w:rsid w:val="00DB6C93"/>
    <w:rsid w:val="00E141F2"/>
    <w:rsid w:val="00E24AA2"/>
    <w:rsid w:val="00E258FC"/>
    <w:rsid w:val="00E6554A"/>
    <w:rsid w:val="00E73789"/>
    <w:rsid w:val="00E91379"/>
    <w:rsid w:val="00EB11D0"/>
    <w:rsid w:val="00EC359C"/>
    <w:rsid w:val="00F132B7"/>
    <w:rsid w:val="00F20FAE"/>
    <w:rsid w:val="00F32318"/>
    <w:rsid w:val="00F44C0F"/>
    <w:rsid w:val="00F7016D"/>
    <w:rsid w:val="00FD152B"/>
    <w:rsid w:val="00FD171A"/>
    <w:rsid w:val="00FD302C"/>
    <w:rsid w:val="00FE74A0"/>
    <w:rsid w:val="01877B89"/>
    <w:rsid w:val="01C368F6"/>
    <w:rsid w:val="033465A6"/>
    <w:rsid w:val="03906A9D"/>
    <w:rsid w:val="058A5E9A"/>
    <w:rsid w:val="08C72F61"/>
    <w:rsid w:val="091D7025"/>
    <w:rsid w:val="09CA0B1C"/>
    <w:rsid w:val="09E81C05"/>
    <w:rsid w:val="0B9F280D"/>
    <w:rsid w:val="0D8069D8"/>
    <w:rsid w:val="0F2E1672"/>
    <w:rsid w:val="11423ACC"/>
    <w:rsid w:val="121865DB"/>
    <w:rsid w:val="12777587"/>
    <w:rsid w:val="12E3308D"/>
    <w:rsid w:val="135E44C2"/>
    <w:rsid w:val="141B757D"/>
    <w:rsid w:val="14776021"/>
    <w:rsid w:val="161F2DC4"/>
    <w:rsid w:val="180A55CF"/>
    <w:rsid w:val="19A3205B"/>
    <w:rsid w:val="1A5B79AD"/>
    <w:rsid w:val="1DEC00F0"/>
    <w:rsid w:val="200C0F32"/>
    <w:rsid w:val="22965A26"/>
    <w:rsid w:val="2455763F"/>
    <w:rsid w:val="25290DD3"/>
    <w:rsid w:val="274A5031"/>
    <w:rsid w:val="27B30E28"/>
    <w:rsid w:val="288D3D6C"/>
    <w:rsid w:val="290D27BA"/>
    <w:rsid w:val="29FF5F3C"/>
    <w:rsid w:val="2C8114F5"/>
    <w:rsid w:val="2C8671A3"/>
    <w:rsid w:val="2DBB4AC8"/>
    <w:rsid w:val="2EF52DE8"/>
    <w:rsid w:val="2F044677"/>
    <w:rsid w:val="2FF975F4"/>
    <w:rsid w:val="30BF083E"/>
    <w:rsid w:val="32987598"/>
    <w:rsid w:val="33ED47A9"/>
    <w:rsid w:val="350038B2"/>
    <w:rsid w:val="35747E49"/>
    <w:rsid w:val="37575C49"/>
    <w:rsid w:val="378620B5"/>
    <w:rsid w:val="37AE54B1"/>
    <w:rsid w:val="38FD1F03"/>
    <w:rsid w:val="3B7302C2"/>
    <w:rsid w:val="3D067FC5"/>
    <w:rsid w:val="3D9F17DB"/>
    <w:rsid w:val="3DB877BB"/>
    <w:rsid w:val="3E774506"/>
    <w:rsid w:val="3F410F47"/>
    <w:rsid w:val="404A384B"/>
    <w:rsid w:val="43996CCD"/>
    <w:rsid w:val="43BA1BCF"/>
    <w:rsid w:val="43C755E8"/>
    <w:rsid w:val="44DE6DF6"/>
    <w:rsid w:val="475C24EB"/>
    <w:rsid w:val="49A32653"/>
    <w:rsid w:val="4B7A3887"/>
    <w:rsid w:val="50342958"/>
    <w:rsid w:val="536A5F90"/>
    <w:rsid w:val="53CA4C80"/>
    <w:rsid w:val="553920BD"/>
    <w:rsid w:val="563E1843"/>
    <w:rsid w:val="5708799A"/>
    <w:rsid w:val="589A4EED"/>
    <w:rsid w:val="58CD3249"/>
    <w:rsid w:val="5A9009D2"/>
    <w:rsid w:val="5AFE3B8D"/>
    <w:rsid w:val="5B0362B6"/>
    <w:rsid w:val="5B705832"/>
    <w:rsid w:val="5C9F54A4"/>
    <w:rsid w:val="62F21F43"/>
    <w:rsid w:val="657A02B4"/>
    <w:rsid w:val="675845E8"/>
    <w:rsid w:val="67605463"/>
    <w:rsid w:val="676E209B"/>
    <w:rsid w:val="68A660EC"/>
    <w:rsid w:val="6A3C022E"/>
    <w:rsid w:val="6A6A44FA"/>
    <w:rsid w:val="6B1F655B"/>
    <w:rsid w:val="6CBB18DB"/>
    <w:rsid w:val="6F375468"/>
    <w:rsid w:val="704C0A9F"/>
    <w:rsid w:val="72231816"/>
    <w:rsid w:val="729C1C07"/>
    <w:rsid w:val="72A05FAF"/>
    <w:rsid w:val="743F74B1"/>
    <w:rsid w:val="75E711E0"/>
    <w:rsid w:val="769F667C"/>
    <w:rsid w:val="77C83101"/>
    <w:rsid w:val="781C169F"/>
    <w:rsid w:val="782F3180"/>
    <w:rsid w:val="78B72DC4"/>
    <w:rsid w:val="7B034450"/>
    <w:rsid w:val="7DAC5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6"/>
    <w:qFormat/>
    <w:uiPriority w:val="0"/>
    <w:rPr>
      <w:rFonts w:ascii="等线" w:hAnsi="等线" w:eastAsia="等线"/>
      <w:kern w:val="2"/>
      <w:sz w:val="18"/>
      <w:szCs w:val="18"/>
    </w:rPr>
  </w:style>
  <w:style w:type="character" w:customStyle="1" w:styleId="13">
    <w:name w:val="页脚 字符"/>
    <w:basedOn w:val="9"/>
    <w:link w:val="5"/>
    <w:qFormat/>
    <w:uiPriority w:val="0"/>
    <w:rPr>
      <w:rFonts w:ascii="等线" w:hAnsi="等线" w:eastAsia="等线"/>
      <w:kern w:val="2"/>
      <w:sz w:val="18"/>
      <w:szCs w:val="18"/>
    </w:rPr>
  </w:style>
  <w:style w:type="character" w:customStyle="1" w:styleId="14">
    <w:name w:val="批注文字 字符"/>
    <w:basedOn w:val="9"/>
    <w:link w:val="3"/>
    <w:qFormat/>
    <w:uiPriority w:val="0"/>
    <w:rPr>
      <w:rFonts w:ascii="等线" w:hAnsi="等线" w:eastAsia="等线"/>
      <w:kern w:val="2"/>
      <w:sz w:val="21"/>
      <w:szCs w:val="22"/>
    </w:rPr>
  </w:style>
  <w:style w:type="character" w:customStyle="1" w:styleId="15">
    <w:name w:val="批注主题 字符"/>
    <w:basedOn w:val="14"/>
    <w:link w:val="7"/>
    <w:qFormat/>
    <w:uiPriority w:val="0"/>
    <w:rPr>
      <w:rFonts w:ascii="等线" w:hAnsi="等线" w:eastAsia="等线"/>
      <w:b/>
      <w:bCs/>
      <w:kern w:val="2"/>
      <w:sz w:val="21"/>
      <w:szCs w:val="22"/>
    </w:rPr>
  </w:style>
  <w:style w:type="character" w:customStyle="1" w:styleId="16">
    <w:name w:val="批注框文本 字符"/>
    <w:basedOn w:val="9"/>
    <w:link w:val="4"/>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F4CC-58C9-4DD5-9B0D-1082C4667796}">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3415</Words>
  <Characters>3603</Characters>
  <Lines>24</Lines>
  <Paragraphs>6</Paragraphs>
  <TotalTime>0</TotalTime>
  <ScaleCrop>false</ScaleCrop>
  <LinksUpToDate>false</LinksUpToDate>
  <CharactersWithSpaces>3603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2024-04-24T13:20:00Z</dcterms:created>
  <dc:creator>Administrator</dc:creator>
  <cp:lastModifiedBy>Tenet-思</cp:lastModifiedBy>
  <cp:lastPrinted>2026-05-15T07:27:00Z</cp:lastPrinted>
  <dcterms:modified xsi:type="dcterms:W3CDTF">2026-05-19T08:30:59Z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9407324DF48A46ACB43B6B8992B87A89</vt:lpwstr>
  </property>
  <property fmtid="{D5CDD505-2E9C-101B-9397-08002B2CF9AE}" pid="4" name="KSOTemplateDocerSaveRecord">
    <vt:lpwstr>eyJoZGlkIjoiNmVjMzIyY2MzY2IyNzQ2NmU4NDk5M2M0MWMyZDFmNjkiLCJ1c2VySWQiOiIxMjA0NzE0NzE2In0=</vt:lpwstr>
  </property>
</Properties>
</file>